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30" w:rsidRPr="006462F8" w:rsidRDefault="00E34F30" w:rsidP="00E34F30">
      <w:pPr>
        <w:spacing w:after="0" w:line="240" w:lineRule="atLeast"/>
        <w:jc w:val="right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Załącznik nr 1.</w:t>
      </w:r>
      <w:r w:rsidR="00B6284F">
        <w:rPr>
          <w:rFonts w:ascii="Arial" w:hAnsi="Arial" w:cs="Arial"/>
          <w:b/>
        </w:rPr>
        <w:t>6</w:t>
      </w:r>
      <w:r w:rsidRPr="006462F8">
        <w:rPr>
          <w:rFonts w:ascii="Arial" w:hAnsi="Arial" w:cs="Arial"/>
          <w:b/>
        </w:rPr>
        <w:t xml:space="preserve"> do </w:t>
      </w:r>
      <w:proofErr w:type="spellStart"/>
      <w:r w:rsidRPr="006462F8">
        <w:rPr>
          <w:rFonts w:ascii="Arial" w:hAnsi="Arial" w:cs="Arial"/>
          <w:b/>
        </w:rPr>
        <w:t>siwz</w:t>
      </w:r>
      <w:proofErr w:type="spellEnd"/>
      <w:r w:rsidRPr="006462F8">
        <w:rPr>
          <w:rFonts w:ascii="Arial" w:hAnsi="Arial" w:cs="Arial"/>
          <w:b/>
        </w:rPr>
        <w:t xml:space="preserve"> – Formularz</w:t>
      </w:r>
      <w:r>
        <w:rPr>
          <w:rFonts w:ascii="Arial" w:hAnsi="Arial" w:cs="Arial"/>
          <w:b/>
        </w:rPr>
        <w:t xml:space="preserve"> Szczegółowy Oferty (Pakiet nr </w:t>
      </w:r>
      <w:r w:rsidR="00B6284F">
        <w:rPr>
          <w:rFonts w:ascii="Arial" w:hAnsi="Arial" w:cs="Arial"/>
          <w:b/>
        </w:rPr>
        <w:t>6</w:t>
      </w:r>
      <w:r w:rsidRPr="006462F8">
        <w:rPr>
          <w:rFonts w:ascii="Arial" w:hAnsi="Arial" w:cs="Arial"/>
          <w:b/>
        </w:rPr>
        <w:t>)</w:t>
      </w:r>
    </w:p>
    <w:p w:rsidR="00E34F30" w:rsidRPr="006462F8" w:rsidRDefault="00E34F30" w:rsidP="00E34F30">
      <w:pPr>
        <w:spacing w:after="0" w:line="240" w:lineRule="atLeast"/>
        <w:jc w:val="right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Oznaczenie postępowania: DA.ZP.242.43.2018</w:t>
      </w:r>
    </w:p>
    <w:p w:rsidR="00E34F30" w:rsidRPr="006462F8" w:rsidRDefault="00E34F30" w:rsidP="00E34F30">
      <w:pPr>
        <w:spacing w:after="0" w:line="240" w:lineRule="atLeast"/>
        <w:jc w:val="center"/>
        <w:rPr>
          <w:rFonts w:ascii="Arial" w:hAnsi="Arial" w:cs="Arial"/>
          <w:b/>
        </w:rPr>
      </w:pPr>
    </w:p>
    <w:p w:rsidR="00E34F30" w:rsidRDefault="00E34F30" w:rsidP="00E34F30">
      <w:pPr>
        <w:spacing w:after="0" w:line="240" w:lineRule="atLeast"/>
        <w:jc w:val="center"/>
        <w:rPr>
          <w:rFonts w:ascii="Arial" w:hAnsi="Arial" w:cs="Arial"/>
          <w:b/>
        </w:rPr>
      </w:pPr>
    </w:p>
    <w:p w:rsidR="00E34F30" w:rsidRPr="006462F8" w:rsidRDefault="00E34F30" w:rsidP="00E34F30">
      <w:pPr>
        <w:spacing w:after="0" w:line="240" w:lineRule="atLeast"/>
        <w:jc w:val="center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 xml:space="preserve">Pakiet nr </w:t>
      </w:r>
      <w:r w:rsidR="00B6284F">
        <w:rPr>
          <w:rFonts w:ascii="Arial" w:hAnsi="Arial" w:cs="Arial"/>
          <w:b/>
        </w:rPr>
        <w:t>6</w:t>
      </w:r>
    </w:p>
    <w:p w:rsidR="00E34F30" w:rsidRPr="00AC048A" w:rsidRDefault="00E34F30" w:rsidP="00E34F30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AC048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34F30" w:rsidRPr="00AC048A" w:rsidRDefault="00E34F30" w:rsidP="00E34F30">
      <w:pPr>
        <w:pStyle w:val="Standard"/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 w:rsidRPr="00AC048A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</w:p>
    <w:p w:rsidR="00E34F30" w:rsidRPr="00AC048A" w:rsidRDefault="00B6284F" w:rsidP="00B6284F">
      <w:pPr>
        <w:pStyle w:val="Standard"/>
        <w:spacing w:line="240" w:lineRule="atLeast"/>
        <w:ind w:left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Zewnętrzne stymulatory jednojamowe</w:t>
      </w:r>
      <w:r w:rsidR="00E34F30">
        <w:rPr>
          <w:rFonts w:ascii="Arial" w:hAnsi="Arial" w:cs="Arial"/>
          <w:b/>
          <w:bCs/>
          <w:sz w:val="22"/>
          <w:szCs w:val="22"/>
        </w:rPr>
        <w:t xml:space="preserve"> </w:t>
      </w:r>
      <w:r w:rsidR="00E34F30" w:rsidRPr="00AC048A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E34F30">
        <w:rPr>
          <w:rFonts w:ascii="Arial" w:hAnsi="Arial" w:cs="Arial"/>
          <w:b/>
          <w:bCs/>
          <w:sz w:val="22"/>
          <w:szCs w:val="22"/>
        </w:rPr>
        <w:t xml:space="preserve"> </w:t>
      </w:r>
      <w:r w:rsidR="00E34F30" w:rsidRPr="00AC048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34F30" w:rsidRPr="00AC048A">
        <w:rPr>
          <w:rFonts w:ascii="Arial" w:hAnsi="Arial" w:cs="Arial"/>
          <w:b/>
          <w:bCs/>
          <w:sz w:val="22"/>
          <w:szCs w:val="22"/>
        </w:rPr>
        <w:t>szt</w:t>
      </w:r>
      <w:proofErr w:type="spellEnd"/>
    </w:p>
    <w:p w:rsidR="00E34F30" w:rsidRPr="00AC048A" w:rsidRDefault="00E34F30" w:rsidP="00E34F30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001"/>
      </w:tblGrid>
      <w:tr w:rsidR="00E34F30" w:rsidRPr="00AC048A" w:rsidTr="002616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F30" w:rsidRPr="00AC048A" w:rsidTr="002616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Wytwórca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F30" w:rsidRPr="00AC048A" w:rsidTr="002616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Nazwa – model/typ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F30" w:rsidRPr="00AC048A" w:rsidTr="002616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048A"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2018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E34F30" w:rsidRPr="00AC048A" w:rsidRDefault="00E34F30" w:rsidP="00E34F30">
      <w:pPr>
        <w:spacing w:after="0" w:line="240" w:lineRule="atLeast"/>
        <w:jc w:val="center"/>
        <w:rPr>
          <w:rFonts w:ascii="Arial" w:hAnsi="Arial" w:cs="Arial"/>
        </w:rPr>
      </w:pPr>
    </w:p>
    <w:p w:rsidR="00E34F30" w:rsidRDefault="00E34F30" w:rsidP="00E34F30">
      <w:pPr>
        <w:spacing w:after="0" w:line="240" w:lineRule="atLeast"/>
        <w:jc w:val="center"/>
        <w:rPr>
          <w:rFonts w:ascii="Arial" w:hAnsi="Arial" w:cs="Arial"/>
          <w:b/>
        </w:rPr>
      </w:pPr>
      <w:r w:rsidRPr="00AC048A">
        <w:rPr>
          <w:rFonts w:ascii="Arial" w:hAnsi="Arial" w:cs="Arial"/>
          <w:b/>
        </w:rPr>
        <w:t>Część A: ZESTAWIENIE GRANICZNYCH PARAMETR1W TECHNICZNO-UŻYTKOWYCH</w:t>
      </w:r>
    </w:p>
    <w:p w:rsidR="00B6284F" w:rsidRPr="00AC048A" w:rsidRDefault="00B6284F" w:rsidP="00E34F30">
      <w:pPr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5517"/>
        <w:gridCol w:w="2898"/>
      </w:tblGrid>
      <w:tr w:rsidR="00E34F30" w:rsidRPr="00AC048A" w:rsidTr="006A64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Parametry wymagane</w:t>
            </w:r>
          </w:p>
          <w:p w:rsidR="00E34F30" w:rsidRPr="00AC048A" w:rsidRDefault="00E34F30" w:rsidP="0026167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30" w:rsidRPr="00AC048A" w:rsidRDefault="00B6284F" w:rsidP="0026167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oferowany</w:t>
            </w: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17" w:type="dxa"/>
          </w:tcPr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Zewnętrzny stymulator jednojamowy</w:t>
            </w:r>
          </w:p>
        </w:tc>
        <w:tc>
          <w:tcPr>
            <w:tcW w:w="2898" w:type="dxa"/>
          </w:tcPr>
          <w:p w:rsidR="00CE2032" w:rsidRPr="00AC048A" w:rsidRDefault="00CE2032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17" w:type="dxa"/>
          </w:tcPr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Zewnętrzny stymulator jednojamowy do stymulacji w przypadku:</w:t>
            </w:r>
            <w:r w:rsidRPr="00CE2032">
              <w:rPr>
                <w:rFonts w:ascii="Arial" w:hAnsi="Arial" w:cs="Arial"/>
                <w:color w:val="000000"/>
              </w:rPr>
              <w:br/>
              <w:t>- zaburzeń rytmu serca i przewodzenia</w:t>
            </w:r>
            <w:r w:rsidRPr="00CE2032">
              <w:rPr>
                <w:rFonts w:ascii="Arial" w:hAnsi="Arial" w:cs="Arial"/>
                <w:color w:val="000000"/>
              </w:rPr>
              <w:br/>
              <w:t>- bradykardii po zabiegu kardiochirurgicznym</w:t>
            </w:r>
            <w:r w:rsidRPr="00CE2032">
              <w:rPr>
                <w:rFonts w:ascii="Arial" w:hAnsi="Arial" w:cs="Arial"/>
                <w:color w:val="000000"/>
              </w:rPr>
              <w:br/>
              <w:t>- zabiegów wszczepienia lub wymiany stymulatora</w:t>
            </w:r>
          </w:p>
        </w:tc>
        <w:tc>
          <w:tcPr>
            <w:tcW w:w="2898" w:type="dxa"/>
          </w:tcPr>
          <w:p w:rsidR="00CE2032" w:rsidRPr="00AC048A" w:rsidRDefault="00CE2032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17" w:type="dxa"/>
          </w:tcPr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Stymulator z trybami: AOO, AAI, VOO, VVI</w:t>
            </w:r>
          </w:p>
        </w:tc>
        <w:tc>
          <w:tcPr>
            <w:tcW w:w="2898" w:type="dxa"/>
          </w:tcPr>
          <w:p w:rsidR="00CE2032" w:rsidRPr="00AC048A" w:rsidRDefault="00CE2032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17" w:type="dxa"/>
          </w:tcPr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Ustawianie parametrów przy użyciu pokręteł</w:t>
            </w:r>
          </w:p>
        </w:tc>
        <w:tc>
          <w:tcPr>
            <w:tcW w:w="2898" w:type="dxa"/>
          </w:tcPr>
          <w:p w:rsidR="00CE2032" w:rsidRPr="00AC048A" w:rsidRDefault="00CE2032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17" w:type="dxa"/>
          </w:tcPr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Chronione tuleje dla bolców o średnicy 0,9-2,0 mm</w:t>
            </w:r>
          </w:p>
        </w:tc>
        <w:tc>
          <w:tcPr>
            <w:tcW w:w="2898" w:type="dxa"/>
          </w:tcPr>
          <w:p w:rsidR="00CE2032" w:rsidRPr="00AC048A" w:rsidRDefault="00CE2032" w:rsidP="0026167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 xml:space="preserve">Złącza stymulatora: w osłonach o średnicy od min. 0,9 mm do maksymalnie 2,0 mm kompatybilne z systemem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Confix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 xml:space="preserve"> - fiksacja elektrod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niasierdzowych</w:t>
            </w:r>
            <w:proofErr w:type="spellEnd"/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CE2032">
              <w:rPr>
                <w:rFonts w:ascii="Arial" w:hAnsi="Arial" w:cs="Arial"/>
                <w:color w:val="000000"/>
              </w:rPr>
              <w:t>zas pracy bater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CE2032">
              <w:rPr>
                <w:rFonts w:ascii="Arial" w:hAnsi="Arial" w:cs="Arial"/>
                <w:color w:val="000000"/>
              </w:rPr>
              <w:t>i min 1000 godzin</w:t>
            </w:r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517" w:type="dxa"/>
          </w:tcPr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 xml:space="preserve">Częstość stymulacji: regulowana w zakresie od 30, 60, 120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ppm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 xml:space="preserve"> do 180,360, 720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pm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 xml:space="preserve">, Stymulacja z wysoką częstością w celu przerwania częstoskurczu przedsionkowego: częstość x2, x4 z sygnałami </w:t>
            </w:r>
            <w:r w:rsidRPr="00CE2032">
              <w:rPr>
                <w:rFonts w:ascii="Arial" w:hAnsi="Arial" w:cs="Arial"/>
                <w:color w:val="000000"/>
              </w:rPr>
              <w:lastRenderedPageBreak/>
              <w:t>akustycznymi</w:t>
            </w: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>Sygnały akustyczne z możliwością ich wyłączenia</w:t>
            </w:r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>Czułość na załamki P-/R: regulow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E2032">
              <w:rPr>
                <w:rFonts w:ascii="Arial" w:hAnsi="Arial" w:cs="Arial"/>
                <w:color w:val="000000"/>
              </w:rPr>
              <w:t xml:space="preserve">na w zakresie min. Od 1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mV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 xml:space="preserve"> do 20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mV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>, ∞</w:t>
            </w:r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>Impuls wyjściowy:</w:t>
            </w:r>
            <w:r w:rsidRPr="00CE2032">
              <w:rPr>
                <w:rFonts w:ascii="Arial" w:hAnsi="Arial" w:cs="Arial"/>
                <w:color w:val="000000"/>
              </w:rPr>
              <w:br/>
              <w:t>- polarność: katodowa, sprzężona pojemnościowo</w:t>
            </w:r>
            <w:r w:rsidRPr="00CE2032">
              <w:rPr>
                <w:rFonts w:ascii="Arial" w:hAnsi="Arial" w:cs="Arial"/>
                <w:color w:val="000000"/>
              </w:rPr>
              <w:br/>
              <w:t>- kształt: dwufazowy, asymetryczny</w:t>
            </w:r>
            <w:r w:rsidRPr="00CE2032">
              <w:rPr>
                <w:rFonts w:ascii="Arial" w:hAnsi="Arial" w:cs="Arial"/>
                <w:color w:val="000000"/>
              </w:rPr>
              <w:br/>
              <w:t>- czas trwania: 0,75 ms ± 0,05 ms</w:t>
            </w:r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>Amplituda impulsu wyjściowego: zmienna w zakresie min.: 0,3 V - 12 V. Wizualizacja impulsu wyjściowego</w:t>
            </w:r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>Stymulator posiada dodatkowe zabezpieczenie w przypadku dostarczania sty</w:t>
            </w:r>
            <w:r>
              <w:rPr>
                <w:rFonts w:ascii="Arial" w:hAnsi="Arial" w:cs="Arial"/>
                <w:color w:val="000000"/>
              </w:rPr>
              <w:t>mulacji o zbyt wysokiej częstośc</w:t>
            </w:r>
            <w:r w:rsidRPr="00CE2032">
              <w:rPr>
                <w:rFonts w:ascii="Arial" w:hAnsi="Arial" w:cs="Arial"/>
                <w:color w:val="000000"/>
              </w:rPr>
              <w:t xml:space="preserve">i - ograniczenie emisji impulsów do maks. Poziomu 200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ppm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>.</w:t>
            </w:r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>Monitorowanie napięcia baterii.</w:t>
            </w:r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>Klasa odporności min IP41</w:t>
            </w:r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517" w:type="dxa"/>
          </w:tcPr>
          <w:p w:rsid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>Waga max. 150 g</w:t>
            </w:r>
          </w:p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517" w:type="dxa"/>
          </w:tcPr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Akcesoria:</w:t>
            </w:r>
            <w:r w:rsidRPr="00CE2032">
              <w:rPr>
                <w:rFonts w:ascii="Arial" w:hAnsi="Arial" w:cs="Arial"/>
                <w:color w:val="000000"/>
              </w:rPr>
              <w:br/>
              <w:t>- pasek do mocowania</w:t>
            </w:r>
            <w:r w:rsidRPr="00CE2032">
              <w:rPr>
                <w:rFonts w:ascii="Arial" w:hAnsi="Arial" w:cs="Arial"/>
                <w:color w:val="000000"/>
              </w:rPr>
              <w:br/>
              <w:t>- zapasowa bateria</w:t>
            </w:r>
            <w:r w:rsidRPr="00CE2032">
              <w:rPr>
                <w:rFonts w:ascii="Arial" w:hAnsi="Arial" w:cs="Arial"/>
                <w:color w:val="000000"/>
              </w:rPr>
              <w:br/>
              <w:t xml:space="preserve">- osłona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antykontaminacyjna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br/>
              <w:t xml:space="preserve">- zewnętrzny kabel łączący stymulator z elektrodą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nasierdziową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 xml:space="preserve"> lub elektrodą czasową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przezżylną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 xml:space="preserve">, kompatybilną ze wszystkimi stymulatorami i elektrodami - 5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szt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2032" w:rsidRPr="00AC048A" w:rsidTr="006A6485">
        <w:trPr>
          <w:trHeight w:val="187"/>
        </w:trPr>
        <w:tc>
          <w:tcPr>
            <w:tcW w:w="828" w:type="dxa"/>
            <w:vAlign w:val="bottom"/>
          </w:tcPr>
          <w:p w:rsidR="00CE2032" w:rsidRPr="00CE2032" w:rsidRDefault="00CE2032" w:rsidP="00CE2032">
            <w:p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  <w:r w:rsidRPr="00CE203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517" w:type="dxa"/>
          </w:tcPr>
          <w:p w:rsidR="00CE2032" w:rsidRPr="00CE2032" w:rsidRDefault="00CE2032" w:rsidP="00CE203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Urządz</w:t>
            </w:r>
            <w:r w:rsidRPr="00CE2032">
              <w:rPr>
                <w:rFonts w:ascii="Arial" w:hAnsi="Arial" w:cs="Arial"/>
                <w:color w:val="000000"/>
              </w:rPr>
              <w:t>enie fabrycznie nowe - 2018 r.</w:t>
            </w:r>
          </w:p>
        </w:tc>
        <w:tc>
          <w:tcPr>
            <w:tcW w:w="2898" w:type="dxa"/>
          </w:tcPr>
          <w:p w:rsidR="00CE2032" w:rsidRPr="00DC54E3" w:rsidRDefault="00CE2032" w:rsidP="00261674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E34F30" w:rsidRDefault="00E34F30" w:rsidP="00E34F30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:rsidR="00CE2032" w:rsidRDefault="00E34F30" w:rsidP="00E34F30">
      <w:pPr>
        <w:spacing w:after="0" w:line="240" w:lineRule="atLeast"/>
        <w:jc w:val="both"/>
        <w:rPr>
          <w:rFonts w:ascii="Arial" w:hAnsi="Arial" w:cs="Arial"/>
          <w:b/>
          <w:smallCaps/>
          <w:color w:val="000000"/>
        </w:rPr>
      </w:pPr>
      <w:r w:rsidRPr="006462F8">
        <w:rPr>
          <w:rFonts w:ascii="Arial" w:hAnsi="Arial" w:cs="Arial"/>
        </w:rPr>
        <w:t>Zamawiający informuję, że w przypadku użycia w którymkolwiek miejscu SIWZ zapisów opisujących przedmiot zamówienia poprzez odniesienie do norm, europejskich ocen technicznych, aprobat, specyfikacji technicznych i systemów referencji technicznych Zamawiający dopuszcza rozwiązania równoważne. Ponadto w przypadku użycia w którymkolwiek miejscu SIWZ znaków towarowych nazw wyrobów, producentów itp., Zamawiający dopuszcza zaoferowanie rozwiązań, materiałów, wyrobów równoważnych.”</w:t>
      </w:r>
      <w:r w:rsidRPr="006462F8">
        <w:rPr>
          <w:rFonts w:ascii="Arial" w:hAnsi="Arial" w:cs="Arial"/>
          <w:b/>
          <w:smallCaps/>
          <w:color w:val="000000"/>
        </w:rPr>
        <w:tab/>
      </w:r>
    </w:p>
    <w:p w:rsidR="00CE2032" w:rsidRDefault="00CE2032" w:rsidP="00E34F30">
      <w:pPr>
        <w:spacing w:after="0" w:line="240" w:lineRule="atLeast"/>
        <w:jc w:val="both"/>
        <w:rPr>
          <w:rFonts w:ascii="Arial" w:hAnsi="Arial" w:cs="Arial"/>
          <w:b/>
          <w:smallCaps/>
          <w:color w:val="000000"/>
        </w:rPr>
      </w:pPr>
    </w:p>
    <w:p w:rsidR="00CE2032" w:rsidRDefault="00CE2032" w:rsidP="00E34F30">
      <w:pPr>
        <w:spacing w:after="0" w:line="240" w:lineRule="atLeast"/>
        <w:jc w:val="both"/>
        <w:rPr>
          <w:rFonts w:ascii="Arial" w:hAnsi="Arial" w:cs="Arial"/>
          <w:b/>
          <w:smallCaps/>
          <w:color w:val="000000"/>
        </w:rPr>
      </w:pPr>
    </w:p>
    <w:p w:rsidR="00E34F30" w:rsidRPr="006462F8" w:rsidRDefault="00E34F30" w:rsidP="00E34F30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  <w:b/>
          <w:smallCaps/>
          <w:color w:val="000000"/>
        </w:rPr>
        <w:lastRenderedPageBreak/>
        <w:tab/>
      </w:r>
    </w:p>
    <w:p w:rsidR="00E34F30" w:rsidRPr="006462F8" w:rsidRDefault="00E34F30" w:rsidP="00E34F30">
      <w:pPr>
        <w:spacing w:after="0" w:line="240" w:lineRule="atLeast"/>
        <w:rPr>
          <w:rFonts w:ascii="Arial" w:hAnsi="Arial" w:cs="Arial"/>
          <w:u w:val="single"/>
        </w:rPr>
      </w:pPr>
      <w:r w:rsidRPr="006462F8">
        <w:rPr>
          <w:rFonts w:ascii="Arial" w:hAnsi="Arial" w:cs="Arial"/>
          <w:u w:val="single"/>
        </w:rPr>
        <w:t xml:space="preserve">UWAGA!: </w:t>
      </w:r>
    </w:p>
    <w:p w:rsidR="00E34F30" w:rsidRPr="006462F8" w:rsidRDefault="00E34F30" w:rsidP="00E34F30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</w:rPr>
        <w:t xml:space="preserve">Wykonawca jest zobowiązany do potwierdzenia </w:t>
      </w:r>
      <w:r w:rsidR="006A6485">
        <w:rPr>
          <w:rFonts w:ascii="Arial" w:hAnsi="Arial" w:cs="Arial"/>
        </w:rPr>
        <w:t xml:space="preserve">parametru wymaganego </w:t>
      </w:r>
      <w:bookmarkStart w:id="0" w:name="_GoBack"/>
      <w:bookmarkEnd w:id="0"/>
      <w:r w:rsidRPr="006462F8">
        <w:rPr>
          <w:rFonts w:ascii="Arial" w:hAnsi="Arial" w:cs="Arial"/>
        </w:rPr>
        <w:t>w rubryce „PARAMETR OFEROWANY” wraz z opisem. Nie spełnienie któregokolwiek z tych parametrów spowoduje odrzucenie oferty.</w:t>
      </w:r>
    </w:p>
    <w:p w:rsidR="00E34F30" w:rsidRPr="006462F8" w:rsidRDefault="00E34F30" w:rsidP="00E34F30">
      <w:pPr>
        <w:spacing w:after="0" w:line="240" w:lineRule="atLeast"/>
        <w:jc w:val="both"/>
        <w:rPr>
          <w:rFonts w:ascii="Arial" w:hAnsi="Arial" w:cs="Arial"/>
          <w:u w:val="single"/>
        </w:rPr>
      </w:pPr>
      <w:r w:rsidRPr="006462F8">
        <w:rPr>
          <w:rFonts w:ascii="Arial" w:hAnsi="Arial" w:cs="Arial"/>
        </w:rPr>
        <w:t>Zaoferowane według ww. wymagań urządzenia muszą być i gotowe do użytkowania bez żadnych dodatkowych zakupów, poza materiałami eksploatacyjnymi</w:t>
      </w:r>
      <w:r w:rsidRPr="006462F8">
        <w:rPr>
          <w:rFonts w:ascii="Arial" w:hAnsi="Arial" w:cs="Arial"/>
          <w:u w:val="single"/>
        </w:rPr>
        <w:t>.</w:t>
      </w:r>
    </w:p>
    <w:p w:rsidR="00E34F30" w:rsidRDefault="00E34F30" w:rsidP="00E34F3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E34F30" w:rsidRDefault="00E34F30" w:rsidP="00E34F3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E34F30" w:rsidRPr="00CE2032" w:rsidRDefault="00E34F30" w:rsidP="00E34F3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E34F30" w:rsidRPr="00CE2032" w:rsidRDefault="00E34F30" w:rsidP="00E34F3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  <w:r w:rsidRPr="00CE2032">
        <w:rPr>
          <w:rFonts w:ascii="Arial" w:hAnsi="Arial" w:cs="Arial"/>
          <w:b/>
        </w:rPr>
        <w:t>Część B: FORMULARZ CENOWY</w:t>
      </w:r>
    </w:p>
    <w:p w:rsidR="00E34F30" w:rsidRPr="00CE2032" w:rsidRDefault="00E34F30" w:rsidP="00E34F3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2898"/>
        <w:gridCol w:w="1070"/>
        <w:gridCol w:w="893"/>
        <w:gridCol w:w="893"/>
        <w:gridCol w:w="1021"/>
        <w:gridCol w:w="1162"/>
        <w:gridCol w:w="675"/>
      </w:tblGrid>
      <w:tr w:rsidR="00E34F30" w:rsidRPr="00CE2032" w:rsidTr="00261674">
        <w:tc>
          <w:tcPr>
            <w:tcW w:w="708" w:type="dxa"/>
            <w:vMerge w:val="restart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98" w:type="dxa"/>
            <w:vMerge w:val="restart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1070" w:type="dxa"/>
            <w:vMerge w:val="restart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86" w:type="dxa"/>
            <w:gridSpan w:val="2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Cena jednostkowa</w:t>
            </w:r>
          </w:p>
        </w:tc>
        <w:tc>
          <w:tcPr>
            <w:tcW w:w="2183" w:type="dxa"/>
            <w:gridSpan w:val="2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675" w:type="dxa"/>
            <w:vMerge w:val="restart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VAT</w:t>
            </w:r>
          </w:p>
        </w:tc>
      </w:tr>
      <w:tr w:rsidR="00E34F30" w:rsidRPr="00CE2032" w:rsidTr="00261674">
        <w:tc>
          <w:tcPr>
            <w:tcW w:w="708" w:type="dxa"/>
            <w:vMerge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8" w:type="dxa"/>
            <w:vMerge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0" w:type="dxa"/>
            <w:vMerge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93" w:type="dxa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021" w:type="dxa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62" w:type="dxa"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675" w:type="dxa"/>
            <w:vMerge/>
          </w:tcPr>
          <w:p w:rsidR="00E34F30" w:rsidRPr="00CE2032" w:rsidRDefault="00E34F30" w:rsidP="00261674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E34F30" w:rsidRPr="00CE2032" w:rsidTr="00261674">
        <w:tc>
          <w:tcPr>
            <w:tcW w:w="708" w:type="dxa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CE2032">
              <w:rPr>
                <w:rFonts w:ascii="Arial" w:hAnsi="Arial" w:cs="Arial"/>
              </w:rPr>
              <w:t>1.</w:t>
            </w:r>
          </w:p>
        </w:tc>
        <w:tc>
          <w:tcPr>
            <w:tcW w:w="2898" w:type="dxa"/>
          </w:tcPr>
          <w:p w:rsidR="00E34F30" w:rsidRPr="00CE2032" w:rsidRDefault="00CE2032" w:rsidP="0026167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CE2032">
              <w:rPr>
                <w:rFonts w:ascii="Arial" w:hAnsi="Arial" w:cs="Arial"/>
                <w:b/>
                <w:bCs/>
              </w:rPr>
              <w:t>Zewnętrzne stymulatory jednojamowe</w:t>
            </w:r>
          </w:p>
        </w:tc>
        <w:tc>
          <w:tcPr>
            <w:tcW w:w="1070" w:type="dxa"/>
          </w:tcPr>
          <w:p w:rsidR="00E34F30" w:rsidRPr="00CE2032" w:rsidRDefault="00CE2032" w:rsidP="00CE20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CE2032">
              <w:rPr>
                <w:rFonts w:ascii="Arial" w:hAnsi="Arial" w:cs="Arial"/>
              </w:rPr>
              <w:t>3</w:t>
            </w:r>
            <w:r w:rsidR="00E34F30" w:rsidRPr="00CE2032">
              <w:rPr>
                <w:rFonts w:ascii="Arial" w:hAnsi="Arial" w:cs="Arial"/>
              </w:rPr>
              <w:t xml:space="preserve"> </w:t>
            </w:r>
            <w:proofErr w:type="spellStart"/>
            <w:r w:rsidR="00E34F30" w:rsidRPr="00CE203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34F30" w:rsidRPr="00CE2032" w:rsidTr="00261674">
        <w:tc>
          <w:tcPr>
            <w:tcW w:w="6462" w:type="dxa"/>
            <w:gridSpan w:val="5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1" w:type="dxa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E34F30" w:rsidRPr="00CE2032" w:rsidRDefault="00E34F30" w:rsidP="0026167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E34F30" w:rsidRDefault="00E34F30" w:rsidP="00E34F30">
      <w:pPr>
        <w:tabs>
          <w:tab w:val="left" w:pos="1985"/>
          <w:tab w:val="left" w:pos="4820"/>
          <w:tab w:val="left" w:pos="5387"/>
          <w:tab w:val="left" w:pos="8931"/>
        </w:tabs>
        <w:spacing w:before="960" w:line="48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dotted"/>
        </w:rPr>
        <w:tab/>
      </w:r>
      <w:r>
        <w:rPr>
          <w:rFonts w:ascii="Bookman Old Style" w:hAnsi="Bookman Old Style"/>
          <w:sz w:val="18"/>
          <w:szCs w:val="18"/>
        </w:rPr>
        <w:t xml:space="preserve"> dnia </w:t>
      </w:r>
      <w:r>
        <w:rPr>
          <w:rFonts w:ascii="Bookman Old Style" w:hAnsi="Bookman Old Style"/>
          <w:sz w:val="18"/>
          <w:szCs w:val="18"/>
          <w:u w:val="dotted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  <w:u w:val="dotted"/>
        </w:rPr>
        <w:tab/>
      </w:r>
    </w:p>
    <w:p w:rsidR="00E34F30" w:rsidRDefault="00E34F30" w:rsidP="00E34F30">
      <w:pPr>
        <w:jc w:val="center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Bookman Old Style" w:hAnsi="Bookman Old Style"/>
          <w:i/>
          <w:iCs/>
          <w:sz w:val="16"/>
          <w:szCs w:val="16"/>
        </w:rPr>
        <w:t>/podpis i pieczątka upoważnionego</w:t>
      </w:r>
    </w:p>
    <w:p w:rsidR="00E34F30" w:rsidRDefault="00E34F30" w:rsidP="00E34F30">
      <w:pPr>
        <w:spacing w:line="36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 xml:space="preserve">                                                                                                           przedstawiciela</w:t>
      </w:r>
      <w:r>
        <w:rPr>
          <w:rFonts w:ascii="Bookman Old Style" w:hAnsi="Bookman Old Style"/>
          <w:sz w:val="16"/>
          <w:szCs w:val="16"/>
        </w:rPr>
        <w:t xml:space="preserve"> /</w:t>
      </w:r>
    </w:p>
    <w:p w:rsidR="00E34F30" w:rsidRPr="00DC54E3" w:rsidRDefault="00E34F30" w:rsidP="00E34F30"/>
    <w:p w:rsidR="008755AF" w:rsidRDefault="008755AF"/>
    <w:sectPr w:rsidR="008755AF" w:rsidSect="00DC54E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66" w:rsidRDefault="000F6F66">
      <w:pPr>
        <w:spacing w:after="0" w:line="240" w:lineRule="auto"/>
      </w:pPr>
      <w:r>
        <w:separator/>
      </w:r>
    </w:p>
  </w:endnote>
  <w:endnote w:type="continuationSeparator" w:id="0">
    <w:p w:rsidR="000F6F66" w:rsidRDefault="000F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E8" w:rsidRPr="00792D90" w:rsidRDefault="00E34F30">
    <w:pPr>
      <w:pStyle w:val="Stopka"/>
      <w:jc w:val="right"/>
      <w:rPr>
        <w:rFonts w:ascii="Century Gothic" w:hAnsi="Century Gothic" w:cs="Arabic Typesetting"/>
        <w:sz w:val="18"/>
        <w:szCs w:val="18"/>
      </w:rPr>
    </w:pPr>
    <w:r w:rsidRPr="00792D90">
      <w:rPr>
        <w:rFonts w:ascii="Century Gothic" w:hAnsi="Century Gothic" w:cs="Arabic Typesetting"/>
        <w:sz w:val="18"/>
        <w:szCs w:val="18"/>
      </w:rPr>
      <w:fldChar w:fldCharType="begin"/>
    </w:r>
    <w:r w:rsidRPr="00792D90">
      <w:rPr>
        <w:rFonts w:ascii="Century Gothic" w:hAnsi="Century Gothic" w:cs="Arabic Typesetting"/>
        <w:sz w:val="18"/>
        <w:szCs w:val="18"/>
      </w:rPr>
      <w:instrText>PAGE   \* MERGEFORMAT</w:instrText>
    </w:r>
    <w:r w:rsidRPr="00792D90">
      <w:rPr>
        <w:rFonts w:ascii="Century Gothic" w:hAnsi="Century Gothic" w:cs="Arabic Typesetting"/>
        <w:sz w:val="18"/>
        <w:szCs w:val="18"/>
      </w:rPr>
      <w:fldChar w:fldCharType="separate"/>
    </w:r>
    <w:r w:rsidR="006A6485">
      <w:rPr>
        <w:rFonts w:ascii="Century Gothic" w:hAnsi="Century Gothic" w:cs="Arabic Typesetting"/>
        <w:noProof/>
        <w:sz w:val="18"/>
        <w:szCs w:val="18"/>
      </w:rPr>
      <w:t>3</w:t>
    </w:r>
    <w:r w:rsidRPr="00792D90">
      <w:rPr>
        <w:rFonts w:ascii="Century Gothic" w:hAnsi="Century Gothic" w:cs="Arabic Typesetting"/>
        <w:sz w:val="18"/>
        <w:szCs w:val="18"/>
      </w:rPr>
      <w:fldChar w:fldCharType="end"/>
    </w:r>
  </w:p>
  <w:p w:rsidR="00941DE8" w:rsidRDefault="000F6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66" w:rsidRDefault="000F6F66">
      <w:pPr>
        <w:spacing w:after="0" w:line="240" w:lineRule="auto"/>
      </w:pPr>
      <w:r>
        <w:separator/>
      </w:r>
    </w:p>
  </w:footnote>
  <w:footnote w:type="continuationSeparator" w:id="0">
    <w:p w:rsidR="000F6F66" w:rsidRDefault="000F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E3" w:rsidRDefault="00E34F30" w:rsidP="00DC54E3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smallCaps/>
        <w:noProof/>
        <w:sz w:val="16"/>
        <w:szCs w:val="16"/>
        <w:lang w:eastAsia="pl-PL"/>
      </w:rPr>
      <w:drawing>
        <wp:inline distT="0" distB="0" distL="0" distR="0">
          <wp:extent cx="57531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4E3" w:rsidRPr="00053FC0" w:rsidRDefault="00E34F30" w:rsidP="00DC54E3">
    <w:pPr>
      <w:widowControl w:val="0"/>
      <w:autoSpaceDE w:val="0"/>
      <w:adjustRightInd w:val="0"/>
      <w:spacing w:after="0" w:line="480" w:lineRule="auto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DC54E3" w:rsidRPr="00053FC0" w:rsidRDefault="00E34F30" w:rsidP="00DC54E3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:rsidR="00DC54E3" w:rsidRPr="00053FC0" w:rsidRDefault="00E34F30" w:rsidP="00DC54E3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:rsidR="00DC54E3" w:rsidRPr="00053FC0" w:rsidRDefault="00E34F30" w:rsidP="00DC54E3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DC54E3" w:rsidRPr="00F95D0A" w:rsidRDefault="00E34F30" w:rsidP="00DC54E3">
    <w:pPr>
      <w:pStyle w:val="Zwykytekst1"/>
      <w:spacing w:line="276" w:lineRule="auto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  <w:p w:rsidR="00DC54E3" w:rsidRDefault="000F6F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0506"/>
    <w:multiLevelType w:val="hybridMultilevel"/>
    <w:tmpl w:val="EF4244F6"/>
    <w:lvl w:ilvl="0" w:tplc="61A6B0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7B"/>
    <w:rsid w:val="000F6F66"/>
    <w:rsid w:val="00387F7B"/>
    <w:rsid w:val="005B1721"/>
    <w:rsid w:val="006A6485"/>
    <w:rsid w:val="008755AF"/>
    <w:rsid w:val="00956A06"/>
    <w:rsid w:val="00B6284F"/>
    <w:rsid w:val="00CE2032"/>
    <w:rsid w:val="00E34F30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F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F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F3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qFormat/>
    <w:rsid w:val="00E34F3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34F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4F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F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F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F3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qFormat/>
    <w:rsid w:val="00E34F3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34F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4F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cp:lastPrinted>2018-07-09T10:05:00Z</cp:lastPrinted>
  <dcterms:created xsi:type="dcterms:W3CDTF">2018-07-06T12:18:00Z</dcterms:created>
  <dcterms:modified xsi:type="dcterms:W3CDTF">2018-07-09T10:06:00Z</dcterms:modified>
</cp:coreProperties>
</file>