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6E" w:rsidRDefault="0095246E" w:rsidP="0095246E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Załącznik nr 1.8 do  SIWZ– Formularz Szczegółowy Oferty</w:t>
      </w:r>
    </w:p>
    <w:p w:rsidR="0095246E" w:rsidRDefault="0095246E" w:rsidP="0095246E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Oznaczenie postępowania: DA.ZP.242.56.2018</w:t>
      </w:r>
    </w:p>
    <w:p w:rsidR="0095246E" w:rsidRDefault="0095246E" w:rsidP="0095246E">
      <w:pPr>
        <w:spacing w:after="0" w:line="360" w:lineRule="auto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>
        <w:rPr>
          <w:rFonts w:ascii="Century Gothic" w:hAnsi="Century Gothic" w:cs="Times New Roman"/>
          <w:b/>
          <w:bCs/>
          <w:sz w:val="18"/>
          <w:szCs w:val="18"/>
          <w:u w:val="single"/>
        </w:rPr>
        <w:t>Pakiet nr 8:</w:t>
      </w:r>
    </w:p>
    <w:p w:rsidR="0095246E" w:rsidRDefault="0095246E" w:rsidP="0095246E">
      <w:pPr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A. Opis Przedmiotu zamówienia:</w:t>
      </w:r>
    </w:p>
    <w:tbl>
      <w:tblPr>
        <w:tblStyle w:val="Tabela-Siatka"/>
        <w:tblW w:w="14049" w:type="dxa"/>
        <w:tblInd w:w="93" w:type="dxa"/>
        <w:tblLook w:val="04A0" w:firstRow="1" w:lastRow="0" w:firstColumn="1" w:lastColumn="0" w:noHBand="0" w:noVBand="1"/>
      </w:tblPr>
      <w:tblGrid>
        <w:gridCol w:w="866"/>
        <w:gridCol w:w="2977"/>
        <w:gridCol w:w="3118"/>
        <w:gridCol w:w="3544"/>
        <w:gridCol w:w="3544"/>
      </w:tblGrid>
      <w:tr w:rsidR="0095246E" w:rsidTr="0095246E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E" w:rsidRDefault="0095246E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E" w:rsidRDefault="0095246E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E" w:rsidRDefault="0095246E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E" w:rsidRDefault="0095246E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Minimalne wymagania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E" w:rsidRDefault="0095246E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 ofertowany</w:t>
            </w:r>
          </w:p>
        </w:tc>
      </w:tr>
    </w:tbl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977"/>
        <w:gridCol w:w="3118"/>
        <w:gridCol w:w="142"/>
        <w:gridCol w:w="3402"/>
        <w:gridCol w:w="3544"/>
      </w:tblGrid>
      <w:tr w:rsidR="0095246E" w:rsidRPr="0095246E" w:rsidTr="0095246E">
        <w:trPr>
          <w:trHeight w:val="315"/>
        </w:trPr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  <w:t>Pompa infuzyjna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Typy strzykawek: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5, 10, 20, 30/35, 50/60 ml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246E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  <w:t>strzykawkowa</w:t>
            </w:r>
            <w:proofErr w:type="spellEnd"/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wielu producentów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automatyczne rozpoznawanie objętości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Infuzja w różnych jednostkach: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ng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, µg, mg, µU,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mU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, U,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kU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, µmol,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mmol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, mol, / kg / min /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godz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/ 24godz,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00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Szybkość infuzji: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0.1 - 2000 ml/h dla strzykawki 50 ml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0.1 - 400 ml/h dla strzykawki 5 ml, skok co 0.1 ml/h,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Objętość infuzji: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0.1 - 9999 ml, skok  max co 0.1 ml,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Czas infuzji: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 min - 200 godzin,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00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Bolus: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do 2000 ml/h dla strzykawek 50 ml,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do 400 ml/h dla strzykawek 5 ml,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780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Rozdzielczość: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0.01 ml/h do 99.99 ml/h, 0.1 ml/h od 100 ml/h do 999.9 ml/h i 1 ml/h powyżej 1000 ml/h,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780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Programowana objętość (dawka), czas lub szybkość podaży. Bolus automatyczny i manualny.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780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Ciśnienie okluzji: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min: 11 poziomów 50 mmHg – 1000 mmHg, automatyczna redukcja bolusa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okluzyjnego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780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Graficzna prezentacja ciśnienia dozowania oraz ustawionego progu (piktogramy),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Funkcja KVO: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0-5 ml/h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Alarmy wizualne i akustyczne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Klawiatura do dezynfekcji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Podświetlany duży i czytelny wyświetlacz graficzny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00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Wygodny uchwyt do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przenoszenia, oraz uchwyt do  montażu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Funkcje dodatkowe: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Automatyczne mocowanie  strzykawki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780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Programowana przerwa w infuzji; od 1 min do 24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godz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ewentualnie skok min co 1 minutę  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Opóźniony start; od 1 min do 24 godz., skok min co 1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minute</w:t>
            </w:r>
            <w:proofErr w:type="spellEnd"/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Alarm z regulacją głośności i rodzaju sygnału dźwiękowego,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Tryb nocny; zmniejszona jasność wyświetlacza;  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Programowana głośność dźwięku,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Programowana godzina początku i końca,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Proste podłączanie i odłączanie od stacji dokującej(bez przerywania infuzji),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Zaawansowany system testów pompy,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Test poziomu zużycia (uszkodzenia) akumulatora,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Zasilanie 230 V, oraz poprzez wbudowany akumulator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NiMH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76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Czas pracy na zasilaniu akumulatorowym: pojemność: ≥ 20 godz. / 5 ml/h,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Częstotliwość sieciowa 50-60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Moc: min 20 VA,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Waga: do 3  kg,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1035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  <w:t>Aparat do mierzenia ciśnienia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Całkowicie automatyczny, prosty pomiar na ramieniu za pomocą jednego przycisku (panel dotykowy)- do dezynfekcji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Zaawansowana technologia pomiaru WMI ((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Measuring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While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Inflanting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) – dokonuje pomiaru podczas pompowania mankietu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Testowany klinicznie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Wykrywa objawy arytmii serca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Średnia wyników z trzech ostatnich pomiarów (AVG)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Zakres pomiarowy ciśnienia: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0 - 299 mmHg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Zakres pomiarowy tętna: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40 - 199 uderzeń/minutę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Mankiet: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Uniwersalny </w:t>
            </w:r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22-42 cm na ramię zmywalny i dezynfekowany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Duży, podświetlany wyświetlacz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Pamięć :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min 2 x 50 ostatnich wyników z datą i godziną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Warunek konieczny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pl-PL"/>
              </w:rPr>
              <w:t>Zasilacz w zestawie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  <w:t>Aparat do mierzenia ciśnienia zegarowy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Wykonane z: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Metalowa obudowa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Czytelna tarcza o średnicy min 50 mm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Wysokiej jakości mankiet dla dorosłych zmywalny i dezynfekowany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Mankiet na ramię od 22 cm do 42 cm obwodu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Zakres pomiarowy: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0-300 mmHg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Warunek konieczny: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Stetoskop w zestawie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  <w:t>Kardiomonitor+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1F253D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1F253D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Kolorowy ekran TFT o przekątnej min 12 cal;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5246E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  <w:t>pulsoksymetr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Wyświetlanie min. 6 krzywych;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Jednoczesne wyświetlanie zapisu EKG z min 6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odprowadzeń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Analiza odcinka ST i zaburzeń rytmu serca;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84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Opcja dwukanałowego monitorowania inwazyjnego pomiaru ciśnienia krwi (IBP) i etCO</w:t>
            </w: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vertAlign w:val="subscript"/>
                <w:lang w:eastAsia="pl-PL"/>
              </w:rPr>
              <w:t>2;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Opcjonalna funkcja monitorowania pojemności minutowej serca;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Tabela rozliczeń i obliczania dawki leku;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Wyświetlanie dynamicznych trendów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OxyCRG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Możliwość połączenia z centralnym systemem monitorowania poprzez sieć LAN;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Wyjście danych HL7;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Wyposażony w uchwyt łatwy do transportu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Menu w podświetleniu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EKG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Typ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odprowadzeń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3 odprowadzenia: I, II, III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5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odprowadzeń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: I, II, III,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aVR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aVL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aVF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, V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7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Zakres pomiarowy: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Częstości akcji Serca (HR): 15–300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bpm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Dokładność: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±5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bpm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lub ±1% (większa z wartości)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Zakres pomiarowy ST: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-0,8–+0,8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mV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Wykrywanie stymulatora serca: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Nieinwazyjny pomiar ciśnienia krwi (NBP)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Metoda: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Automatyczna oscylometryczna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Parametry: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Ciśnienie SYS/DIA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Tryb pracy: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Ręczny/Automatyczny/PILNY /MAP/tętno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Jednostki: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mmHg/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kPa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Dorośli/dzieci: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0–300 mmHg (0–40,0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kPa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Ciśnienie skurczowe: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Dorośli/dzieci: 30–250 mmHg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Ciśnienie rozkurczowe (DIA):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Dorośli/dzieci: 10–220 mmHg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Zabezpieczenie przed nadciśnieniem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Pomiar SpO</w:t>
            </w:r>
            <w:r w:rsidRPr="0095246E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vertAlign w:val="subscript"/>
                <w:lang w:eastAsia="pl-PL"/>
              </w:rPr>
              <w:t>2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Zakres pomiarowy: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0–100%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Dokładność: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70–100% w zależności od czujnika 0–69%, nieokreślona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Zakres pomiarowy częstości tętna: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30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bpm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–300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bpm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Dokładność: ±2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bpm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lub ±2%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Pomiar czynności oddechowej (RESP)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Metoda pomiaru: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Impedancja klatki piersiowej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Zakres pomiarowy: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0–120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rpm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Dokładność: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±2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rpm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Alarm bezdechu: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Tak; 5–120 s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Temperatura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(TEMP, pomiar 2-kanałowy)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Zakres pomiarowy: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0–50°C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Rozdzielczość: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0,1°C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Dokładność 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±0,1°C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Ekran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Typ: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Kolorowy wyświetlacz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Przekątna: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Min. 12 cala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Rozdzielczość: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min 800 x 600 pikseli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Liczba kanałów: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6 lub 8 kanałów (możliwość regulacji)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100–240V AC, 50/60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Akumulator (1 akumulator w zestawie)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Wózek w zestawie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Masa netto: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Max 6,0 (z jednym akumulatorem)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Wymiary: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320mm (szer.) x 155 mm (gł.) x 325  mm (wys.) (+/-10cm)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Wymiary dość optymalne dla czytelności ekranu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2445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  <w:t>Defibrylator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Przeznaczony do akcji ratunkowych dorosłych i dzieci bez konieczności zmiany elektrod.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Dwa tryby pracy dzieci/dorośli.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Szybkie uruchomienie defibrylatora tuż po otwarciu pokrywy.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Bardzo krótki czas ładowania defibrylatora (poniżej 10s).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129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Automatycznie przeprowadza kilka rodzajów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autotestów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: po uruchomieniu (test POST), testy okresowe (codziennie, tygodniowe oraz miesięczne), po wymianie baterii (test BIST).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103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Zgodny z wytycznymi AHA 2010 (American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Heart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Association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). Odznacza się również szybkością i dużą precyzją analizy EKG.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103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Czytelna grafika, wskaźniki LED  oraz wyraźne instrukcje głosowe prowadzą ratownika przez cały proces resuscytacji (RKO).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Zapis EKG na karcie SD pozwala na jego późniejszą analizę na komputerze + oprogramowanie do odczytu karty.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Może pracować w warunkach wysokiej wilgotności (do 95%)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Dane techniczne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249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Defibrylacja: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Impuls dwufazowy: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BiphasicSmartshot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(z kompensacją impedancji pacjenta)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Energia: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45-200J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Czas ładowania: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Poniżej 10 s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Tryb pracy: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Półautomatyczny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EKG 2 odprowadzenia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Wykrywanie arytmii VF/VT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Wskaźniki: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Czytelne piktogramy przedstawiające kroki procesu resuscytacji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Instrukcje głosowe prowadzące przez proces resuscytacji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1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Panel LCD przedstawiający stan defibrylatora oraz stan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naładowania baterii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Komunikacja oraz archiwizacja danych: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Zapis danych na karcie SD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Komunikacja poprzez port  LAN lub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WiFi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lub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bluetooth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Bateria Litowa o pojemności  min 4200mAh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Okres przechowywania: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min 5 lat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Ilość wyładowań: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min. 200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Monitorowanie pacjenta przez min. 10 godzin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Autotest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Co 24 godziny / 1 tydzień / 1 miesiąc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Autotest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przy każdym uruchomieniu i wymianie baterii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Prezentacja wyników testu oraz stanu defibrylatora na LCD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Elektrody Uniwersalne elektrody dla dzieci i dorosłych.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Długość kabla: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min 2 m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Zawartość zestawu: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Defibrylator, elektrody, pokrowiec, instrukcja obsługi w języku polskim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Wymiary: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250 x 300 x 100 mm (+/-10mm)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Waga z baterią: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max 3 kg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915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  <w:t>AMBU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Resuscytator silikonowy dla dorosłych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zawór wylotowy, rezerwuar tlenu do sterylizacji, maska z otwartym mankietem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103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Charakteryzuje się doskonałą sprężystością, co gwarantuje szybkie wypełnianie się aparatu po zwolnieniu ucisku.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129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Specjalna faktura powierzchni worka oraz  pasek do  i wygodnego  uchwytu co ułatwia to prowadzenie efektywnej wentylacji przez długi okres bez zmęczenia dłoni.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Resuscytator półprzezroczysty co ułatwia obserwację stanu pacjenta.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Zawór ograniczający ciśnienie wentylacji co zapewnia bezpieczeństwo pacjenta.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Urządzenia wyposażone w mechanizm ograniczający ciśnienie do poziomu nie przekraczającego 45 cm H2O.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7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Wentylacja pacjentów o masie ciała powyżej 30 kg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Objętość: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Min </w:t>
            </w: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1400ml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FF3333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FF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Wielorazowy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  <w:t>Aparat EKG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Rejestracja 12 standardowych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odprowadzeń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EKG.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Prezentacja na wyświetlaczu i wydruk 3, 6 lub 12 przebiegów EKG w układzie standardowym lub Cabrera.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205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Podczas badania automatycznego funkcja zapisu do „schowka” sygnału EKG ze wszystkich 12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odprowadzeń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jednocześnie łącznie z datą i godziną wykonania badania, ustawieniami filtrów, czasem zapisu badania i opcjonalnie z danymi pacjenta i gabinetu – pamięć ostatniego badania automatycznego.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Wydruk ze „schowka” automatycznego badania EKG w grupach po 3, 6 lub 12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odprowadzeń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Wydruk na papierze o szerokości 112 mm – łatwość zakładania papieru.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Automatyczna analiza i interpretacja.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Dołączenie imienia i nazwiska pacjenta do wydruku przebiegu EKG.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Klawiatura membranowa alfanumeryczna z przyciskami funkcyjnymi ( możliwość dezynfekcji).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129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Graficzne menu wyświetlane na ekranie  z rozdzielczością min (128x240, przekątna min  96 mm) umożliwiające łatwą obsługę za pomocą klawiatury alfanumerycznej.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Wykonanie do 150 badań automatycznych w trybie pracy akumulatorowej.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Ciągły pomiar częstości akcji serca (HR) i jego prezentacja na wyświetlaczu.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Automatyczna detekcja zespołów QRS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Filtr zakłóceń sieciowych (50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, 60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Filtr zakłóceń mięśniowych (25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, 35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, 45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Filtr izolinii (0,15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, 0,45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, 0,75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, 1,5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Detekcja odpięcia elektrody niezależna dla każdej elektrody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Wybór dowolnego kanału do detekcji częstości akcji serca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Wykrywanie i prezentacja impulsów stymulujących na wydruku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Zabezpieczenie przed impulsem defibrylującym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Funkcje oszczędności energii akumulatora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Standardowe wyposażenie: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Kabel EKG KEKG  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Elektrody przyssawkowe EPP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Elektrody klipsowe EKK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Żel EKG 250g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Papier EKG RA4 -1 rolka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Kabel zasilania sieciowego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Wózek z wysięgnikiem dla uporządkowania kabli, wózek na kółkach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780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  <w:t>Ssaki elektryczne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Pompa próżniowa napędzana tłokiem zapewniająca brak pary i wilgoci oraz zapobiega gromadzeniu bakterii.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Łatwe użytkowanie poprzez przełącznik ręczny i nożny oraz precyzyjnym systemem kontroli próżni.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4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l-PL"/>
              </w:rPr>
              <w:t>Ssak medyczny przejezdny służący do udrożnienia dróg oddechowych.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Sieciowe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Przepływ powietrza: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Min 20L/min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Poziom hałasu: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≤67 </w:t>
            </w:r>
            <w:proofErr w:type="spellStart"/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Pojemność butli: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2000ml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Do 30kg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Wymagana możliwość zastosowania pojemników jednorazowego użytku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Mobilny: 4 koła, min w dwóch możliwość zablokowania, min 2 koła skrętne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95246E" w:rsidTr="0095246E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95246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Możliwość uruchomienia ssaka za pomocą pedału nożnego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6E" w:rsidRP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5246E" w:rsidRDefault="0095246E" w:rsidP="0095246E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5246E" w:rsidRDefault="0095246E" w:rsidP="0095246E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5246E" w:rsidRDefault="0095246E" w:rsidP="0095246E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5246E" w:rsidRPr="00620F8D" w:rsidRDefault="0095246E" w:rsidP="0095246E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lastRenderedPageBreak/>
        <w:t>B</w:t>
      </w:r>
      <w:r w:rsidRPr="00620F8D">
        <w:rPr>
          <w:rFonts w:ascii="Century Gothic" w:hAnsi="Century Gothic" w:cs="Arial"/>
          <w:b/>
          <w:bCs/>
          <w:sz w:val="18"/>
          <w:szCs w:val="18"/>
        </w:rPr>
        <w:t>. FORMULARZ CENOWY</w:t>
      </w: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95246E" w:rsidRPr="00620F8D" w:rsidTr="0095246E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hAnsi="Century Gothic" w:cs="Arial"/>
                <w:b/>
                <w:bCs/>
                <w:sz w:val="18"/>
                <w:szCs w:val="18"/>
              </w:rPr>
              <w:t>Opis oferowanego wyposażenia (typ, model/ symbol/ 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95246E" w:rsidRPr="00620F8D" w:rsidTr="0095246E">
        <w:trPr>
          <w:trHeight w:val="31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620F8D" w:rsidTr="0095246E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9C0FD7" w:rsidRDefault="0095246E" w:rsidP="0095246E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025337" w:rsidRDefault="0095246E" w:rsidP="0095246E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Pompa infuzyjna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strzykawkowa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620F8D" w:rsidTr="0095246E">
        <w:trPr>
          <w:trHeight w:val="475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620F8D" w:rsidTr="0095246E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9C0FD7" w:rsidRDefault="0095246E" w:rsidP="0095246E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9C0FD7" w:rsidRDefault="0095246E" w:rsidP="0095246E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Aparat do mierzenia ciśnienia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6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620F8D" w:rsidTr="0095246E">
        <w:trPr>
          <w:trHeight w:val="32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620F8D" w:rsidTr="0095246E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9C0FD7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Aparat do mierzenia ciśnienia zegarowy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620F8D" w:rsidTr="0095246E">
        <w:trPr>
          <w:trHeight w:val="33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620F8D" w:rsidTr="0095246E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9C0FD7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Kardiomonitor +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pulsoksymetr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620F8D" w:rsidTr="0095246E">
        <w:trPr>
          <w:trHeight w:val="32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620F8D" w:rsidTr="0095246E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9C0FD7" w:rsidRDefault="0095246E" w:rsidP="0095246E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Defibrylator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620F8D" w:rsidTr="0095246E">
        <w:trPr>
          <w:trHeight w:val="272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620F8D" w:rsidTr="0095246E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9C0FD7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AMBU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620F8D" w:rsidTr="0095246E">
        <w:trPr>
          <w:trHeight w:val="34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620F8D" w:rsidTr="0095246E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9C0FD7" w:rsidRDefault="0095246E" w:rsidP="0095246E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9C0FD7" w:rsidRDefault="0095246E" w:rsidP="0095246E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Aparat EKG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620F8D" w:rsidTr="0095246E">
        <w:trPr>
          <w:trHeight w:val="45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620F8D" w:rsidTr="0095246E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9C0FD7" w:rsidRDefault="0095246E" w:rsidP="0095246E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CD4837" w:rsidRDefault="0095246E" w:rsidP="0095246E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Ssaki elektryczne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620F8D" w:rsidTr="0095246E">
        <w:trPr>
          <w:trHeight w:val="21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5246E" w:rsidRPr="00620F8D" w:rsidTr="0095246E">
        <w:trPr>
          <w:trHeight w:val="76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5246E" w:rsidRPr="00620F8D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  <w:p w:rsidR="0095246E" w:rsidRPr="00620F8D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5246E" w:rsidRPr="00620F8D" w:rsidRDefault="0095246E" w:rsidP="009524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246E" w:rsidRPr="00620F8D" w:rsidRDefault="0095246E" w:rsidP="009524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5246E" w:rsidRPr="00620F8D" w:rsidRDefault="0095246E" w:rsidP="0095246E">
      <w:pPr>
        <w:suppressAutoHyphens/>
        <w:spacing w:after="0" w:line="360" w:lineRule="auto"/>
        <w:ind w:left="720"/>
        <w:rPr>
          <w:rFonts w:ascii="Century Gothic" w:hAnsi="Century Gothic" w:cs="Arial"/>
          <w:b/>
          <w:bCs/>
          <w:sz w:val="18"/>
          <w:szCs w:val="18"/>
        </w:rPr>
      </w:pPr>
      <w:r w:rsidRPr="00620F8D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:rsidR="0095246E" w:rsidRPr="00620F8D" w:rsidRDefault="0095246E" w:rsidP="0095246E">
      <w:pPr>
        <w:jc w:val="both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Wartość netto pakietu:    …………………            Słownie:  ................................................................................</w:t>
      </w:r>
    </w:p>
    <w:p w:rsidR="0095246E" w:rsidRPr="00620F8D" w:rsidRDefault="0095246E" w:rsidP="0095246E">
      <w:pPr>
        <w:jc w:val="both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Wartość brutto pakietu:   …………………            Słownie:  ................................................................................</w:t>
      </w:r>
    </w:p>
    <w:p w:rsidR="0095246E" w:rsidRPr="00620F8D" w:rsidRDefault="0095246E" w:rsidP="0095246E">
      <w:pPr>
        <w:jc w:val="right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</w:t>
      </w:r>
    </w:p>
    <w:p w:rsidR="0095246E" w:rsidRPr="00620F8D" w:rsidRDefault="0095246E" w:rsidP="0095246E">
      <w:pPr>
        <w:jc w:val="right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/podpis i pieczątka upoważnionego przedstawiciela/</w:t>
      </w:r>
    </w:p>
    <w:p w:rsidR="0095246E" w:rsidRPr="00F34FF7" w:rsidRDefault="0095246E" w:rsidP="0095246E">
      <w:pPr>
        <w:rPr>
          <w:rFonts w:ascii="Century Gothic" w:hAnsi="Century Gothic"/>
          <w:sz w:val="18"/>
          <w:szCs w:val="18"/>
        </w:rPr>
      </w:pPr>
    </w:p>
    <w:p w:rsidR="0095246E" w:rsidRPr="00CF20E5" w:rsidRDefault="0095246E" w:rsidP="0095246E">
      <w:pPr>
        <w:rPr>
          <w:rFonts w:ascii="Century Gothic" w:hAnsi="Century Gothic" w:cs="Times New Roman"/>
          <w:sz w:val="18"/>
          <w:szCs w:val="18"/>
        </w:rPr>
      </w:pPr>
    </w:p>
    <w:p w:rsidR="0095246E" w:rsidRPr="0095246E" w:rsidRDefault="0095246E">
      <w:pPr>
        <w:rPr>
          <w:rFonts w:ascii="Century Gothic" w:hAnsi="Century Gothic"/>
          <w:sz w:val="18"/>
          <w:szCs w:val="18"/>
        </w:rPr>
      </w:pPr>
    </w:p>
    <w:sectPr w:rsidR="0095246E" w:rsidRPr="0095246E" w:rsidSect="00952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B5" w:rsidRDefault="00FA12B5" w:rsidP="008F1F06">
      <w:pPr>
        <w:spacing w:after="0" w:line="240" w:lineRule="auto"/>
      </w:pPr>
      <w:r>
        <w:separator/>
      </w:r>
    </w:p>
  </w:endnote>
  <w:endnote w:type="continuationSeparator" w:id="0">
    <w:p w:rsidR="00FA12B5" w:rsidRDefault="00FA12B5" w:rsidP="008F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06" w:rsidRDefault="008F1F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06" w:rsidRDefault="008F1F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06" w:rsidRDefault="008F1F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B5" w:rsidRDefault="00FA12B5" w:rsidP="008F1F06">
      <w:pPr>
        <w:spacing w:after="0" w:line="240" w:lineRule="auto"/>
      </w:pPr>
      <w:r>
        <w:separator/>
      </w:r>
    </w:p>
  </w:footnote>
  <w:footnote w:type="continuationSeparator" w:id="0">
    <w:p w:rsidR="00FA12B5" w:rsidRDefault="00FA12B5" w:rsidP="008F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06" w:rsidRDefault="008F1F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06" w:rsidRDefault="00364F43" w:rsidP="008F1F06">
    <w:pPr>
      <w:pStyle w:val="Nagwek"/>
      <w:jc w:val="center"/>
    </w:pPr>
    <w:bookmarkStart w:id="0" w:name="_GoBack"/>
    <w:r>
      <w:rPr>
        <w:noProof/>
        <w:lang w:eastAsia="pl-PL"/>
      </w:rPr>
      <w:drawing>
        <wp:inline distT="0" distB="0" distL="0" distR="0" wp14:anchorId="410B37AB" wp14:editId="66637435">
          <wp:extent cx="5753100" cy="4667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06" w:rsidRDefault="008F1F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90"/>
    <w:rsid w:val="00142290"/>
    <w:rsid w:val="00364F43"/>
    <w:rsid w:val="005B1721"/>
    <w:rsid w:val="008755AF"/>
    <w:rsid w:val="008F1F06"/>
    <w:rsid w:val="0095246E"/>
    <w:rsid w:val="00AE4FEF"/>
    <w:rsid w:val="00BC2B5C"/>
    <w:rsid w:val="00DC3B68"/>
    <w:rsid w:val="00F70AA9"/>
    <w:rsid w:val="00FA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24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F06"/>
  </w:style>
  <w:style w:type="paragraph" w:styleId="Stopka">
    <w:name w:val="footer"/>
    <w:basedOn w:val="Normalny"/>
    <w:link w:val="StopkaZnak"/>
    <w:uiPriority w:val="99"/>
    <w:unhideWhenUsed/>
    <w:rsid w:val="008F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F06"/>
  </w:style>
  <w:style w:type="paragraph" w:styleId="Tekstdymka">
    <w:name w:val="Balloon Text"/>
    <w:basedOn w:val="Normalny"/>
    <w:link w:val="TekstdymkaZnak"/>
    <w:uiPriority w:val="99"/>
    <w:semiHidden/>
    <w:unhideWhenUsed/>
    <w:rsid w:val="008F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24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F06"/>
  </w:style>
  <w:style w:type="paragraph" w:styleId="Stopka">
    <w:name w:val="footer"/>
    <w:basedOn w:val="Normalny"/>
    <w:link w:val="StopkaZnak"/>
    <w:uiPriority w:val="99"/>
    <w:unhideWhenUsed/>
    <w:rsid w:val="008F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F06"/>
  </w:style>
  <w:style w:type="paragraph" w:styleId="Tekstdymka">
    <w:name w:val="Balloon Text"/>
    <w:basedOn w:val="Normalny"/>
    <w:link w:val="TekstdymkaZnak"/>
    <w:uiPriority w:val="99"/>
    <w:semiHidden/>
    <w:unhideWhenUsed/>
    <w:rsid w:val="008F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1709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6</cp:revision>
  <dcterms:created xsi:type="dcterms:W3CDTF">2018-08-23T12:06:00Z</dcterms:created>
  <dcterms:modified xsi:type="dcterms:W3CDTF">2018-08-30T06:25:00Z</dcterms:modified>
</cp:coreProperties>
</file>