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AF" w:rsidRPr="00ED4F94" w:rsidRDefault="00C05D78" w:rsidP="00F04051">
      <w:pPr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Załącznik nr 4</w:t>
      </w:r>
      <w:r w:rsidR="00F04051" w:rsidRPr="00ED4F94">
        <w:rPr>
          <w:rFonts w:ascii="Century Gothic" w:hAnsi="Century Gothic"/>
          <w:b/>
          <w:sz w:val="18"/>
          <w:szCs w:val="18"/>
        </w:rPr>
        <w:t xml:space="preserve"> do </w:t>
      </w:r>
      <w:r w:rsidR="006155CB">
        <w:rPr>
          <w:rFonts w:ascii="Century Gothic" w:hAnsi="Century Gothic"/>
          <w:b/>
          <w:sz w:val="18"/>
          <w:szCs w:val="18"/>
        </w:rPr>
        <w:t>SIWZ</w:t>
      </w:r>
      <w:r w:rsidR="00F04051" w:rsidRPr="00ED4F94">
        <w:rPr>
          <w:rFonts w:ascii="Century Gothic" w:hAnsi="Century Gothic"/>
          <w:b/>
          <w:sz w:val="18"/>
          <w:szCs w:val="18"/>
        </w:rPr>
        <w:t xml:space="preserve"> - Parametry podlegające ocenie</w:t>
      </w:r>
      <w:r w:rsidR="00D238B2">
        <w:rPr>
          <w:rFonts w:ascii="Century Gothic" w:hAnsi="Century Gothic"/>
          <w:b/>
          <w:sz w:val="18"/>
          <w:szCs w:val="18"/>
        </w:rPr>
        <w:t xml:space="preserve"> w Pakiecie nr 1</w:t>
      </w:r>
    </w:p>
    <w:p w:rsidR="00F04051" w:rsidRPr="00ED4F94" w:rsidRDefault="00F04051" w:rsidP="00F04051">
      <w:pPr>
        <w:jc w:val="right"/>
        <w:rPr>
          <w:rFonts w:ascii="Century Gothic" w:hAnsi="Century Gothic"/>
          <w:b/>
          <w:sz w:val="18"/>
          <w:szCs w:val="18"/>
        </w:rPr>
      </w:pPr>
      <w:r w:rsidRPr="006155CB">
        <w:rPr>
          <w:rFonts w:ascii="Century Gothic" w:hAnsi="Century Gothic"/>
          <w:sz w:val="18"/>
          <w:szCs w:val="18"/>
        </w:rPr>
        <w:t>Oznaczenie postępowania:</w:t>
      </w:r>
      <w:r w:rsidRPr="00ED4F94">
        <w:rPr>
          <w:rFonts w:ascii="Century Gothic" w:hAnsi="Century Gothic"/>
          <w:b/>
          <w:sz w:val="18"/>
          <w:szCs w:val="18"/>
        </w:rPr>
        <w:t xml:space="preserve"> </w:t>
      </w:r>
      <w:r w:rsidR="008353D8">
        <w:rPr>
          <w:rFonts w:ascii="Century Gothic" w:hAnsi="Century Gothic" w:cs="Arial"/>
          <w:b/>
          <w:sz w:val="18"/>
          <w:szCs w:val="18"/>
        </w:rPr>
        <w:t>DA.ZP.242</w:t>
      </w:r>
      <w:bookmarkStart w:id="0" w:name="_GoBack"/>
      <w:bookmarkEnd w:id="0"/>
      <w:r w:rsidR="006155CB" w:rsidRPr="00D2617E">
        <w:rPr>
          <w:rFonts w:ascii="Century Gothic" w:hAnsi="Century Gothic" w:cs="Arial"/>
          <w:b/>
          <w:sz w:val="18"/>
          <w:szCs w:val="18"/>
        </w:rPr>
        <w:t>.29.2019</w:t>
      </w:r>
    </w:p>
    <w:p w:rsidR="00F04051" w:rsidRPr="00ED4F94" w:rsidRDefault="00F04051" w:rsidP="00F04051">
      <w:pPr>
        <w:jc w:val="right"/>
        <w:rPr>
          <w:rFonts w:ascii="Century Gothic" w:hAnsi="Century Gothic"/>
          <w:b/>
          <w:sz w:val="18"/>
          <w:szCs w:val="18"/>
        </w:rPr>
      </w:pPr>
    </w:p>
    <w:p w:rsidR="00F04051" w:rsidRPr="00ED4F94" w:rsidRDefault="00F04051" w:rsidP="00ED4F94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F04051" w:rsidRDefault="00F04051" w:rsidP="00ED4F94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ED4F94">
        <w:rPr>
          <w:rFonts w:ascii="Century Gothic" w:hAnsi="Century Gothic"/>
          <w:b/>
          <w:sz w:val="18"/>
          <w:szCs w:val="18"/>
        </w:rPr>
        <w:t>PARAMETRY PODLEGAJACE OCENIE</w:t>
      </w:r>
      <w:r w:rsidR="00D238B2">
        <w:rPr>
          <w:rFonts w:ascii="Century Gothic" w:hAnsi="Century Gothic"/>
          <w:b/>
          <w:sz w:val="18"/>
          <w:szCs w:val="18"/>
        </w:rPr>
        <w:t xml:space="preserve"> W PAKIECIE NR 1</w:t>
      </w:r>
    </w:p>
    <w:p w:rsidR="00ED4F94" w:rsidRDefault="00ED4F94" w:rsidP="00ED4F94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F91C2C" w:rsidRPr="00ED4F94" w:rsidRDefault="00F91C2C" w:rsidP="00ED4F94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17"/>
        <w:gridCol w:w="3787"/>
        <w:gridCol w:w="2303"/>
        <w:gridCol w:w="2557"/>
      </w:tblGrid>
      <w:tr w:rsidR="00F04051" w:rsidRPr="00ED4F94" w:rsidTr="00421CB6">
        <w:tc>
          <w:tcPr>
            <w:tcW w:w="817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4F94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3787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4F94">
              <w:rPr>
                <w:rFonts w:ascii="Century Gothic" w:hAnsi="Century Gothic"/>
                <w:b/>
                <w:sz w:val="18"/>
                <w:szCs w:val="18"/>
              </w:rPr>
              <w:t>Parametr oceny jakości</w:t>
            </w:r>
          </w:p>
        </w:tc>
        <w:tc>
          <w:tcPr>
            <w:tcW w:w="2303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4F94">
              <w:rPr>
                <w:rFonts w:ascii="Century Gothic" w:hAnsi="Century Gothic"/>
                <w:b/>
                <w:sz w:val="18"/>
                <w:szCs w:val="18"/>
              </w:rPr>
              <w:t>Oferowany parametr</w:t>
            </w:r>
          </w:p>
        </w:tc>
        <w:tc>
          <w:tcPr>
            <w:tcW w:w="2557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4F94">
              <w:rPr>
                <w:rFonts w:ascii="Century Gothic" w:hAnsi="Century Gothic"/>
                <w:b/>
                <w:sz w:val="18"/>
                <w:szCs w:val="18"/>
              </w:rPr>
              <w:t>Punktacja</w:t>
            </w:r>
          </w:p>
        </w:tc>
      </w:tr>
      <w:tr w:rsidR="00F04051" w:rsidRPr="00ED4F94" w:rsidTr="00421CB6">
        <w:tc>
          <w:tcPr>
            <w:tcW w:w="817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4F94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3787" w:type="dxa"/>
          </w:tcPr>
          <w:p w:rsidR="00F04051" w:rsidRPr="00ED4F94" w:rsidRDefault="00C05D78" w:rsidP="00ED4F9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Dobowy czas kalibracji</w:t>
            </w:r>
          </w:p>
        </w:tc>
        <w:tc>
          <w:tcPr>
            <w:tcW w:w="2303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57" w:type="dxa"/>
          </w:tcPr>
          <w:p w:rsidR="00F04051" w:rsidRDefault="00C05D78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 55 minut – 20 pkt.</w:t>
            </w:r>
          </w:p>
          <w:p w:rsidR="00C05D78" w:rsidRPr="00ED4F94" w:rsidRDefault="00C05D78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powyżej 55 minut – 0 pkt.</w:t>
            </w:r>
          </w:p>
        </w:tc>
      </w:tr>
      <w:tr w:rsidR="00F04051" w:rsidRPr="00ED4F94" w:rsidTr="00421CB6">
        <w:tc>
          <w:tcPr>
            <w:tcW w:w="817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4F94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3787" w:type="dxa"/>
          </w:tcPr>
          <w:p w:rsidR="00F04051" w:rsidRPr="00ED4F94" w:rsidRDefault="00C05D78" w:rsidP="00C05D7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Możliwość wyłączania aparatu bez utraty  pozostałych w kasecie sensorów testów</w:t>
            </w:r>
          </w:p>
        </w:tc>
        <w:tc>
          <w:tcPr>
            <w:tcW w:w="2303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57" w:type="dxa"/>
          </w:tcPr>
          <w:p w:rsidR="00F04051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05D78" w:rsidRDefault="00C05D78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Tak – 10 pkt.</w:t>
            </w:r>
          </w:p>
          <w:p w:rsidR="00C05D78" w:rsidRPr="00ED4F94" w:rsidRDefault="00C05D78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Nie – 0 pkt.</w:t>
            </w:r>
          </w:p>
        </w:tc>
      </w:tr>
      <w:tr w:rsidR="00F04051" w:rsidRPr="00ED4F94" w:rsidTr="00421CB6">
        <w:tc>
          <w:tcPr>
            <w:tcW w:w="817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4F94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3787" w:type="dxa"/>
          </w:tcPr>
          <w:p w:rsidR="00F04051" w:rsidRPr="00ED4F94" w:rsidRDefault="00C05D78" w:rsidP="009303E5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Możliwość podglądu mapy równowagi kwasowo-zasadowej zawierając</w:t>
            </w:r>
            <w:r w:rsidR="009303E5">
              <w:rPr>
                <w:rFonts w:ascii="Century Gothic" w:hAnsi="Century Gothic"/>
                <w:sz w:val="18"/>
                <w:szCs w:val="18"/>
              </w:rPr>
              <w:t>ej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wykresy wyników pacjenta w odniesieniu do wyników standardowych</w:t>
            </w:r>
          </w:p>
        </w:tc>
        <w:tc>
          <w:tcPr>
            <w:tcW w:w="2303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57" w:type="dxa"/>
          </w:tcPr>
          <w:p w:rsidR="00C05D78" w:rsidRDefault="00C05D78" w:rsidP="00C05D78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05D78" w:rsidRDefault="00C05D78" w:rsidP="00C05D78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Tak – 10 pkt.</w:t>
            </w:r>
          </w:p>
          <w:p w:rsidR="00F04051" w:rsidRPr="00ED4F94" w:rsidRDefault="00C05D78" w:rsidP="00C05D78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Nie – 0 pkt.</w:t>
            </w:r>
          </w:p>
        </w:tc>
      </w:tr>
    </w:tbl>
    <w:p w:rsidR="00F04051" w:rsidRDefault="00F04051" w:rsidP="00ED4F94">
      <w:pPr>
        <w:spacing w:after="0" w:line="360" w:lineRule="auto"/>
        <w:jc w:val="both"/>
        <w:rPr>
          <w:rFonts w:ascii="Century Gothic" w:hAnsi="Century Gothic"/>
          <w:b/>
          <w:sz w:val="18"/>
          <w:szCs w:val="18"/>
        </w:rPr>
      </w:pPr>
    </w:p>
    <w:p w:rsidR="00F91C2C" w:rsidRPr="00ED4F94" w:rsidRDefault="00F91C2C" w:rsidP="00ED4F94">
      <w:pPr>
        <w:spacing w:after="0" w:line="360" w:lineRule="auto"/>
        <w:jc w:val="both"/>
        <w:rPr>
          <w:rFonts w:ascii="Century Gothic" w:hAnsi="Century Gothic"/>
          <w:b/>
          <w:sz w:val="18"/>
          <w:szCs w:val="18"/>
        </w:rPr>
      </w:pPr>
    </w:p>
    <w:p w:rsidR="00421CB6" w:rsidRPr="00F91C2C" w:rsidRDefault="00F04051" w:rsidP="00ED4F94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ED4F94">
        <w:rPr>
          <w:rFonts w:ascii="Century Gothic" w:hAnsi="Century Gothic"/>
          <w:b/>
          <w:sz w:val="18"/>
          <w:szCs w:val="18"/>
        </w:rPr>
        <w:t xml:space="preserve">Uwaga:  </w:t>
      </w:r>
      <w:r w:rsidRPr="00F91C2C">
        <w:rPr>
          <w:rFonts w:ascii="Century Gothic" w:hAnsi="Century Gothic"/>
          <w:sz w:val="18"/>
          <w:szCs w:val="18"/>
        </w:rPr>
        <w:t xml:space="preserve">Zamawiający wymaga od Wykonawcy wypełnienia powyższej tabeli, poprzez wpisanie  słowa </w:t>
      </w:r>
      <w:r w:rsidR="00421CB6" w:rsidRPr="00F91C2C">
        <w:rPr>
          <w:rFonts w:ascii="Century Gothic" w:hAnsi="Century Gothic"/>
          <w:sz w:val="18"/>
          <w:szCs w:val="18"/>
        </w:rPr>
        <w:t>„</w:t>
      </w:r>
      <w:r w:rsidRPr="00F91C2C">
        <w:rPr>
          <w:rFonts w:ascii="Century Gothic" w:hAnsi="Century Gothic"/>
          <w:sz w:val="18"/>
          <w:szCs w:val="18"/>
        </w:rPr>
        <w:t>Tak</w:t>
      </w:r>
      <w:r w:rsidR="00421CB6" w:rsidRPr="00F91C2C">
        <w:rPr>
          <w:rFonts w:ascii="Century Gothic" w:hAnsi="Century Gothic"/>
          <w:sz w:val="18"/>
          <w:szCs w:val="18"/>
        </w:rPr>
        <w:t xml:space="preserve">” lub „Nie” w poz. </w:t>
      </w:r>
      <w:r w:rsidR="00C05D78" w:rsidRPr="00F91C2C">
        <w:rPr>
          <w:rFonts w:ascii="Century Gothic" w:hAnsi="Century Gothic"/>
          <w:sz w:val="18"/>
          <w:szCs w:val="18"/>
        </w:rPr>
        <w:t>2-3</w:t>
      </w:r>
      <w:r w:rsidR="00421CB6" w:rsidRPr="00F91C2C">
        <w:rPr>
          <w:rFonts w:ascii="Century Gothic" w:hAnsi="Century Gothic"/>
          <w:sz w:val="18"/>
          <w:szCs w:val="18"/>
        </w:rPr>
        <w:t xml:space="preserve">, czy wpisanie oferowanego parametru w pozycji </w:t>
      </w:r>
      <w:r w:rsidR="00C05D78" w:rsidRPr="00F91C2C">
        <w:rPr>
          <w:rFonts w:ascii="Century Gothic" w:hAnsi="Century Gothic"/>
          <w:sz w:val="18"/>
          <w:szCs w:val="18"/>
        </w:rPr>
        <w:t>1</w:t>
      </w:r>
      <w:r w:rsidR="00421CB6" w:rsidRPr="00F91C2C">
        <w:rPr>
          <w:rFonts w:ascii="Century Gothic" w:hAnsi="Century Gothic"/>
          <w:sz w:val="18"/>
          <w:szCs w:val="18"/>
        </w:rPr>
        <w:t xml:space="preserve">. </w:t>
      </w:r>
    </w:p>
    <w:p w:rsidR="00F04051" w:rsidRPr="00F91C2C" w:rsidRDefault="00421CB6" w:rsidP="00ED4F94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91C2C">
        <w:rPr>
          <w:rFonts w:ascii="Century Gothic" w:hAnsi="Century Gothic"/>
          <w:sz w:val="18"/>
          <w:szCs w:val="18"/>
        </w:rPr>
        <w:t xml:space="preserve">Nie wypełnienie tabeli (brak wpisania słowa „tak” lub „nie” w poz. </w:t>
      </w:r>
      <w:r w:rsidR="00C05D78" w:rsidRPr="00F91C2C">
        <w:rPr>
          <w:rFonts w:ascii="Century Gothic" w:hAnsi="Century Gothic"/>
          <w:sz w:val="18"/>
          <w:szCs w:val="18"/>
        </w:rPr>
        <w:t xml:space="preserve"> 2-3</w:t>
      </w:r>
      <w:r w:rsidRPr="00F91C2C">
        <w:rPr>
          <w:rFonts w:ascii="Century Gothic" w:hAnsi="Century Gothic"/>
          <w:sz w:val="18"/>
          <w:szCs w:val="18"/>
        </w:rPr>
        <w:t xml:space="preserve">, czy oferowanego parametru w poz.  </w:t>
      </w:r>
      <w:r w:rsidR="00C05D78" w:rsidRPr="00F91C2C">
        <w:rPr>
          <w:rFonts w:ascii="Century Gothic" w:hAnsi="Century Gothic"/>
          <w:sz w:val="18"/>
          <w:szCs w:val="18"/>
        </w:rPr>
        <w:t>1</w:t>
      </w:r>
      <w:r w:rsidR="00ED4F94" w:rsidRPr="00F91C2C">
        <w:rPr>
          <w:rFonts w:ascii="Century Gothic" w:hAnsi="Century Gothic"/>
          <w:sz w:val="18"/>
          <w:szCs w:val="18"/>
        </w:rPr>
        <w:t>) spowoduje, iż oferta otrzyma „0” punktów.</w:t>
      </w:r>
    </w:p>
    <w:p w:rsidR="00ED4F94" w:rsidRDefault="00ED4F94" w:rsidP="00ED4F94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bCs/>
          <w:sz w:val="18"/>
          <w:szCs w:val="18"/>
        </w:rPr>
      </w:pPr>
    </w:p>
    <w:p w:rsidR="00ED4F94" w:rsidRDefault="00ED4F94" w:rsidP="00ED4F94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bCs/>
          <w:sz w:val="18"/>
          <w:szCs w:val="18"/>
        </w:rPr>
      </w:pPr>
    </w:p>
    <w:p w:rsidR="00ED4F94" w:rsidRPr="00ED4F94" w:rsidRDefault="00ED4F94" w:rsidP="00ED4F94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bCs/>
          <w:sz w:val="18"/>
          <w:szCs w:val="18"/>
        </w:rPr>
      </w:pPr>
    </w:p>
    <w:p w:rsidR="00ED4F94" w:rsidRPr="00ED4F94" w:rsidRDefault="00ED4F94" w:rsidP="00ED4F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ED4F94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ED4F94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:rsidR="00ED4F94" w:rsidRDefault="00ED4F94" w:rsidP="00ED4F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ED4F94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:rsidR="00E769CD" w:rsidRPr="00ED4F94" w:rsidRDefault="00E769CD" w:rsidP="00E769CD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i/>
          <w:iCs/>
          <w:sz w:val="18"/>
          <w:szCs w:val="18"/>
        </w:rPr>
      </w:pPr>
    </w:p>
    <w:p w:rsidR="00ED4F94" w:rsidRPr="00ED4F94" w:rsidRDefault="00ED4F94" w:rsidP="00E769CD">
      <w:pPr>
        <w:spacing w:line="360" w:lineRule="auto"/>
        <w:jc w:val="right"/>
        <w:rPr>
          <w:rFonts w:ascii="Century Gothic" w:hAnsi="Century Gothic" w:cs="Arial"/>
          <w:i/>
          <w:iCs/>
          <w:sz w:val="18"/>
          <w:szCs w:val="18"/>
        </w:rPr>
      </w:pPr>
      <w:r w:rsidRPr="00ED4F94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              ................................................................</w:t>
      </w:r>
    </w:p>
    <w:p w:rsidR="00ED4F94" w:rsidRPr="00ED4F94" w:rsidRDefault="00ED4F94" w:rsidP="00E769CD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ED4F94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   /podpis i pieczątka upoważnionego przedstawiciela/      </w:t>
      </w:r>
    </w:p>
    <w:p w:rsidR="00ED4F94" w:rsidRPr="00F04051" w:rsidRDefault="00ED4F94" w:rsidP="00F04051">
      <w:pPr>
        <w:jc w:val="both"/>
        <w:rPr>
          <w:b/>
        </w:rPr>
      </w:pPr>
    </w:p>
    <w:sectPr w:rsidR="00ED4F94" w:rsidRPr="00F04051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68"/>
    <w:rsid w:val="00421CB6"/>
    <w:rsid w:val="005A564F"/>
    <w:rsid w:val="005B1721"/>
    <w:rsid w:val="006155CB"/>
    <w:rsid w:val="008353D8"/>
    <w:rsid w:val="008755AF"/>
    <w:rsid w:val="009303E5"/>
    <w:rsid w:val="00C05D78"/>
    <w:rsid w:val="00C17268"/>
    <w:rsid w:val="00D238B2"/>
    <w:rsid w:val="00E30683"/>
    <w:rsid w:val="00E769CD"/>
    <w:rsid w:val="00ED4F94"/>
    <w:rsid w:val="00F04051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msobolewska</cp:lastModifiedBy>
  <cp:revision>4</cp:revision>
  <cp:lastPrinted>2017-03-09T10:43:00Z</cp:lastPrinted>
  <dcterms:created xsi:type="dcterms:W3CDTF">2019-04-18T11:08:00Z</dcterms:created>
  <dcterms:modified xsi:type="dcterms:W3CDTF">2019-05-20T07:35:00Z</dcterms:modified>
</cp:coreProperties>
</file>