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Załącznik nr </w:t>
      </w:r>
      <w:r w:rsidR="00003F64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3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do SIWZ</w:t>
      </w:r>
    </w:p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Zestawienie wymaganych parametrów techniczno-użytkowych </w:t>
      </w:r>
      <w:r w:rsidR="003E466B">
        <w:rPr>
          <w:rFonts w:ascii="Century Gothic" w:hAnsi="Century Gothic"/>
          <w:b/>
          <w:sz w:val="18"/>
          <w:szCs w:val="18"/>
        </w:rPr>
        <w:t>w Pakiecie nr 1</w:t>
      </w:r>
    </w:p>
    <w:p w:rsidR="008E6301" w:rsidRPr="00982C62" w:rsidRDefault="008E6301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sz w:val="18"/>
          <w:szCs w:val="18"/>
          <w:shd w:val="clear" w:color="auto" w:fill="FFFFFF"/>
        </w:rPr>
        <w:t>Oznaczenie postępowania: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EC2625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573953">
        <w:rPr>
          <w:rFonts w:ascii="Century Gothic" w:hAnsi="Century Gothic" w:cs="Arial"/>
          <w:b/>
          <w:sz w:val="18"/>
          <w:szCs w:val="18"/>
        </w:rPr>
        <w:t>DA.ZP.242</w:t>
      </w:r>
      <w:r w:rsidR="00EC2625" w:rsidRPr="00982C62">
        <w:rPr>
          <w:rFonts w:ascii="Century Gothic" w:hAnsi="Century Gothic" w:cs="Arial"/>
          <w:b/>
          <w:sz w:val="18"/>
          <w:szCs w:val="18"/>
        </w:rPr>
        <w:t>.29.2019</w:t>
      </w:r>
    </w:p>
    <w:p w:rsidR="00D753A5" w:rsidRPr="00982C62" w:rsidRDefault="00D753A5" w:rsidP="00D753A5">
      <w:pPr>
        <w:pStyle w:val="Bezodstpw"/>
        <w:spacing w:line="360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sz w:val="18"/>
          <w:szCs w:val="18"/>
          <w:shd w:val="clear" w:color="auto" w:fill="FFFFFF"/>
        </w:rPr>
        <w:t>..................................</w:t>
      </w:r>
    </w:p>
    <w:p w:rsidR="00D753A5" w:rsidRPr="00982C62" w:rsidRDefault="00D753A5" w:rsidP="00D753A5">
      <w:pPr>
        <w:pStyle w:val="Bezodstpw"/>
        <w:spacing w:line="360" w:lineRule="auto"/>
        <w:rPr>
          <w:rFonts w:ascii="Century Gothic" w:hAnsi="Century Gothic" w:cs="Arial"/>
          <w:i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i/>
          <w:sz w:val="18"/>
          <w:szCs w:val="18"/>
          <w:shd w:val="clear" w:color="auto" w:fill="FFFFFF"/>
        </w:rPr>
        <w:t>Pieczęć Wykonawcy</w:t>
      </w:r>
    </w:p>
    <w:p w:rsidR="00D753A5" w:rsidRPr="00982C62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</w:p>
    <w:p w:rsidR="00D753A5" w:rsidRPr="00982C62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Zestawienie wymaganych parametrów techniczn</w:t>
      </w:r>
      <w:r w:rsidR="008E6301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o-użytkowych analizatora</w:t>
      </w:r>
      <w:r w:rsidR="007F229C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7F229C">
        <w:rPr>
          <w:rFonts w:ascii="Century Gothic" w:hAnsi="Century Gothic"/>
          <w:b/>
          <w:sz w:val="18"/>
          <w:szCs w:val="18"/>
        </w:rPr>
        <w:t>w Pakiecie nr 1</w:t>
      </w:r>
      <w:bookmarkStart w:id="0" w:name="_GoBack"/>
      <w:bookmarkEnd w:id="0"/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i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WYMAGANE PARAMETRY i WŁAŚCIWOŚCI</w:t>
      </w:r>
      <w:r w:rsidRPr="00982C6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ANALIZATORA parametrów krytycznych : </w:t>
      </w:r>
      <w:r w:rsidRPr="00982C6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D753A5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ANALIZATOR</w:t>
      </w:r>
      <w:r w:rsidR="008E6301" w:rsidRPr="00982C62">
        <w:rPr>
          <w:rFonts w:ascii="Century Gothic" w:hAnsi="Century Gothic" w:cs="Arial"/>
          <w:b/>
          <w:sz w:val="18"/>
          <w:szCs w:val="18"/>
          <w:lang w:val="pl-PL"/>
        </w:rPr>
        <w:t>:</w:t>
      </w: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Typ: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Model: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Producent: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 xml:space="preserve">Wartość analizatora : </w:t>
      </w:r>
      <w:r w:rsidRPr="00982C62">
        <w:rPr>
          <w:rFonts w:ascii="Century Gothic" w:hAnsi="Century Gothic" w:cs="Arial"/>
          <w:sz w:val="18"/>
          <w:szCs w:val="18"/>
          <w:lang w:val="pl-PL"/>
        </w:rPr>
        <w:t>……………………………………………………………………..</w:t>
      </w:r>
      <w:r w:rsidR="00D753A5" w:rsidRPr="00982C62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tbl>
      <w:tblPr>
        <w:tblStyle w:val="Tabela-Siatka"/>
        <w:tblW w:w="9004" w:type="dxa"/>
        <w:tblLayout w:type="fixed"/>
        <w:tblLook w:val="0000" w:firstRow="0" w:lastRow="0" w:firstColumn="0" w:lastColumn="0" w:noHBand="0" w:noVBand="0"/>
      </w:tblPr>
      <w:tblGrid>
        <w:gridCol w:w="600"/>
        <w:gridCol w:w="5710"/>
        <w:gridCol w:w="2694"/>
      </w:tblGrid>
      <w:tr w:rsidR="00D753A5" w:rsidRPr="00982C62" w:rsidTr="00EC2625">
        <w:trPr>
          <w:trHeight w:val="366"/>
        </w:trPr>
        <w:tc>
          <w:tcPr>
            <w:tcW w:w="60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71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WYMAGANE PARAMETRY I WŁAŚCIWOŚCI ANALIZATORA</w:t>
            </w:r>
          </w:p>
        </w:tc>
        <w:tc>
          <w:tcPr>
            <w:tcW w:w="2694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oferowana</w:t>
            </w:r>
          </w:p>
        </w:tc>
      </w:tr>
      <w:tr w:rsidR="00D753A5" w:rsidRPr="00982C62" w:rsidTr="008E6301">
        <w:trPr>
          <w:trHeight w:val="65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71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Zasilanie awaryjne urządzenia z wbudowanego akumulatora w wypadku zaniku zasilania sieciowego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5710" w:type="dxa"/>
          </w:tcPr>
          <w:p w:rsidR="00D753A5" w:rsidRPr="00982C62" w:rsidRDefault="00D753A5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pH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, pC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2, pO2,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MetHb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O2Hb,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COHb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HbF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sO2,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cNa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cK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(zakres pomiarowy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od 0,1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mmol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/L),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-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sym w:font="Symbol" w:char="F060"/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glukoza, mleczany, bilirubina całkowita (wymagany zakres pomiarowy dla bilirubiny od 0,0 mg/dl do przynajmniej 50 mg/dl) 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71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Analizator pracujący w oparciu o dwa elementy zużywalne tj. wielotestowe sensorowe kasety pomiarowe oraz pakiety odczynnikowe zawierające  odczynniki, kalibratory i płyny kontroli jakości inne niż kalibratory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61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710" w:type="dxa"/>
          </w:tcPr>
          <w:p w:rsidR="00D753A5" w:rsidRPr="00982C62" w:rsidRDefault="004244BE" w:rsidP="004244BE">
            <w:pPr>
              <w:pStyle w:val="WW-Tekstpodstawowy2"/>
              <w:snapToGrid w:val="0"/>
              <w:spacing w:line="360" w:lineRule="auto"/>
              <w:ind w:left="33"/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268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Możliwość wykonania pełnego panelu oznaczeń zarówno z kapilary jak i strzykawki (gazometria, oksymetria, metab</w:t>
            </w:r>
            <w:r w:rsidR="007A550E"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o</w:t>
            </w: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lity, elektrolity) z próbki o objętości:</w:t>
            </w:r>
          </w:p>
          <w:p w:rsidR="004244BE" w:rsidRPr="00982C62" w:rsidRDefault="004244BE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maksymalnie 45µl – z kapilary</w:t>
            </w:r>
          </w:p>
          <w:p w:rsidR="004244BE" w:rsidRPr="00982C62" w:rsidRDefault="004244BE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maksymalnie 65 µl – ze strzykawki</w:t>
            </w:r>
          </w:p>
          <w:p w:rsidR="004244BE" w:rsidRPr="00982C62" w:rsidRDefault="004244BE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w czasie maksymalnie 60 sekund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64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6.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Automatyczny system pobierania próbek z funkcją wykrywania i usuwania skrzepów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70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7.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Automatyczne mieszanie próbki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codzienna automatyczna kontrola jakości na trzech poziomach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9.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 zintegrowane z pojemnikiem ściekowym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55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10.</w:t>
            </w:r>
          </w:p>
        </w:tc>
        <w:tc>
          <w:tcPr>
            <w:tcW w:w="5710" w:type="dxa"/>
          </w:tcPr>
          <w:p w:rsidR="00D753A5" w:rsidRPr="00982C62" w:rsidRDefault="006F0D52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Trwałość kaset pomiarowych oraz pakietów odczynnikowych, liczona od dnia zainstalowania w 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aparacie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, nie mniejsza niż 30 dni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833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11.</w:t>
            </w:r>
          </w:p>
        </w:tc>
        <w:tc>
          <w:tcPr>
            <w:tcW w:w="5710" w:type="dxa"/>
          </w:tcPr>
          <w:p w:rsidR="00D753A5" w:rsidRPr="00982C62" w:rsidRDefault="006F0D52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Pomiar wszystkich parametrów w jednym torze pomiarowy</w:t>
            </w:r>
            <w:r w:rsidR="007A550E"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</w:t>
            </w: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z jedną elektrodą referencyjną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D753A5" w:rsidRPr="00982C62" w:rsidRDefault="00D753A5" w:rsidP="00D753A5">
            <w:pPr>
              <w:pStyle w:val="Standard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85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12.</w:t>
            </w:r>
          </w:p>
        </w:tc>
        <w:tc>
          <w:tcPr>
            <w:tcW w:w="5710" w:type="dxa"/>
          </w:tcPr>
          <w:p w:rsidR="00D753A5" w:rsidRPr="00982C62" w:rsidRDefault="006F0D52" w:rsidP="00B90598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Możliwość </w:t>
            </w:r>
            <w:r w:rsidR="00B90598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re-instalacji pakietu odczynnikowego oraz kasety sensorowej bez utraty pozostałych testów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13.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drukarka oraz czytnik kodów kreskowych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przechowywania kaset odczynnikowych w temperaturze pokojowej.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Brak konieczności kalibracji po każdym oznaczeniu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499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6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Okres dzierżawy i gwarancji: 36 miesięcy 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4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7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Na 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okres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trwania umowy wydzierżawiający udziela pełnej,  bezpłatnej naprawy, części zamienne i konserwacji aparatu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Instrukcja obsługi w języku polskim</w:t>
            </w:r>
            <w:r w:rsidR="00E016C3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(dostawa wraz z urządzeniem)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19</w:t>
            </w:r>
            <w:r w:rsidR="00D753A5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7A550E" w:rsidP="00E016C3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zda</w:t>
            </w:r>
            <w:r w:rsidR="00E016C3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lnego nadzoru analizatora będącego w tej samej podsieci szpitalnej z poziomu laboratorium przy użyciu  dostarczonego przez firmę oprogramowania. System dający możliwość podglądu na żywo statusu analizatora, kontroli jakości, kalibracji, wyników pacjenta zgodnie z wytycznymi  dla POCT. </w:t>
            </w:r>
            <w:r w:rsidR="00DB040A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System dający możliwość sterowania analizatora.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722"/>
        </w:trPr>
        <w:tc>
          <w:tcPr>
            <w:tcW w:w="60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20</w:t>
            </w:r>
            <w:r w:rsidR="00D753A5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DB040A" w:rsidP="00D753A5">
            <w:pPr>
              <w:pStyle w:val="Standard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Oprogramowanie i komunikaty w języku polskim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667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71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Rok produkcji 2017, urządzenie fabrycznie nowe.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83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22.</w:t>
            </w:r>
          </w:p>
        </w:tc>
        <w:tc>
          <w:tcPr>
            <w:tcW w:w="5710" w:type="dxa"/>
          </w:tcPr>
          <w:p w:rsidR="00D753A5" w:rsidRPr="00982C62" w:rsidRDefault="00DB040A" w:rsidP="00D753A5">
            <w:pPr>
              <w:pStyle w:val="Stopka1"/>
              <w:snapToGrid w:val="0"/>
              <w:spacing w:line="360" w:lineRule="auto"/>
              <w:ind w:left="80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</w:tbl>
    <w:p w:rsidR="008E6301" w:rsidRPr="00982C62" w:rsidRDefault="008E6301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8E6301" w:rsidRPr="00982C62" w:rsidRDefault="008E6301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D753A5" w:rsidRPr="00982C62" w:rsidRDefault="00D753A5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lastRenderedPageBreak/>
        <w:t>Instrukcja:</w:t>
      </w:r>
    </w:p>
    <w:p w:rsidR="00D753A5" w:rsidRPr="00982C62" w:rsidRDefault="00D753A5" w:rsidP="00D753A5">
      <w:pPr>
        <w:pStyle w:val="Standard"/>
        <w:spacing w:line="360" w:lineRule="auto"/>
        <w:jc w:val="both"/>
        <w:rPr>
          <w:rStyle w:val="T3"/>
          <w:rFonts w:ascii="Century Gothic" w:hAnsi="Century Gothic"/>
          <w:b/>
          <w:sz w:val="18"/>
          <w:szCs w:val="18"/>
          <w:lang w:val="pl-PL"/>
        </w:rPr>
      </w:pPr>
      <w:r w:rsidRPr="00982C62">
        <w:rPr>
          <w:rStyle w:val="T2"/>
          <w:rFonts w:ascii="Century Gothic" w:hAnsi="Century Gothic"/>
          <w:sz w:val="18"/>
          <w:szCs w:val="18"/>
          <w:lang w:val="pl-PL"/>
        </w:rPr>
        <w:t>w polu „wartość oferowana” poza podaniem informacji o oferowanych parametrach np.: rok produkcji, Wykonawca wpisuje „Tak” lub „Nie” jako potwierdzenie, iż oferowany analizator spełnia bądź nie spełnia wymogów określonych przez Zamawiającego.</w:t>
      </w:r>
      <w:r w:rsidRPr="00982C62">
        <w:rPr>
          <w:rStyle w:val="T3"/>
          <w:rFonts w:ascii="Century Gothic" w:hAnsi="Century Gothic"/>
          <w:sz w:val="18"/>
          <w:szCs w:val="18"/>
          <w:lang w:val="pl-PL"/>
        </w:rPr>
        <w:t xml:space="preserve"> </w:t>
      </w:r>
      <w:r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Niespełnienie któregoś z powyższych warunków spowoduje odrzucenie oferty</w:t>
      </w:r>
      <w:r w:rsidR="008E6301"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.</w:t>
      </w:r>
    </w:p>
    <w:p w:rsidR="00D753A5" w:rsidRPr="00982C62" w:rsidRDefault="00D753A5" w:rsidP="00D753A5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</w:p>
    <w:p w:rsidR="008E6301" w:rsidRPr="00982C62" w:rsidRDefault="008E6301" w:rsidP="00D753A5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EC2625" w:rsidRPr="00982C62" w:rsidRDefault="00EC2625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…………………………...............................................................</w:t>
      </w:r>
    </w:p>
    <w:p w:rsidR="00D753A5" w:rsidRPr="00982C62" w:rsidRDefault="00DB040A" w:rsidP="00DB040A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982C62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/podpis i pieczątka upoważnionego przedstawiciela/      </w:t>
      </w:r>
    </w:p>
    <w:sectPr w:rsidR="00D753A5" w:rsidRPr="00982C62">
      <w:headerReference w:type="default" r:id="rId9"/>
      <w:footerReference w:type="default" r:id="rId10"/>
      <w:pgSz w:w="11906" w:h="16838"/>
      <w:pgMar w:top="1418" w:right="1418" w:bottom="170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78" w:rsidRDefault="00F11A78" w:rsidP="00D753A5">
      <w:pPr>
        <w:spacing w:after="0" w:line="240" w:lineRule="auto"/>
      </w:pPr>
      <w:r>
        <w:separator/>
      </w:r>
    </w:p>
  </w:endnote>
  <w:endnote w:type="continuationSeparator" w:id="0">
    <w:p w:rsidR="00F11A78" w:rsidRDefault="00F11A78" w:rsidP="00D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0684"/>
      <w:docPartObj>
        <w:docPartGallery w:val="Page Numbers (Bottom of Page)"/>
        <w:docPartUnique/>
      </w:docPartObj>
    </w:sdtPr>
    <w:sdtEndPr/>
    <w:sdtContent>
      <w:p w:rsidR="00DB040A" w:rsidRDefault="00DB040A">
        <w:pPr>
          <w:pStyle w:val="Stopka"/>
          <w:jc w:val="center"/>
        </w:pPr>
        <w:r w:rsidRPr="00DB040A">
          <w:rPr>
            <w:rFonts w:ascii="Century Gothic" w:hAnsi="Century Gothic"/>
            <w:sz w:val="18"/>
            <w:szCs w:val="18"/>
          </w:rPr>
          <w:fldChar w:fldCharType="begin"/>
        </w:r>
        <w:r w:rsidRPr="00DB040A">
          <w:rPr>
            <w:rFonts w:ascii="Century Gothic" w:hAnsi="Century Gothic"/>
            <w:sz w:val="18"/>
            <w:szCs w:val="18"/>
          </w:rPr>
          <w:instrText>PAGE   \* MERGEFORMAT</w:instrText>
        </w:r>
        <w:r w:rsidRPr="00DB040A">
          <w:rPr>
            <w:rFonts w:ascii="Century Gothic" w:hAnsi="Century Gothic"/>
            <w:sz w:val="18"/>
            <w:szCs w:val="18"/>
          </w:rPr>
          <w:fldChar w:fldCharType="separate"/>
        </w:r>
        <w:r w:rsidR="007F229C">
          <w:rPr>
            <w:rFonts w:ascii="Century Gothic" w:hAnsi="Century Gothic"/>
            <w:noProof/>
            <w:sz w:val="18"/>
            <w:szCs w:val="18"/>
          </w:rPr>
          <w:t>2</w:t>
        </w:r>
        <w:r w:rsidRPr="00DB040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B040A" w:rsidRDefault="00DB0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78" w:rsidRDefault="00F11A78" w:rsidP="00D753A5">
      <w:pPr>
        <w:spacing w:after="0" w:line="240" w:lineRule="auto"/>
      </w:pPr>
      <w:r>
        <w:separator/>
      </w:r>
    </w:p>
  </w:footnote>
  <w:footnote w:type="continuationSeparator" w:id="0">
    <w:p w:rsidR="00F11A78" w:rsidRDefault="00F11A78" w:rsidP="00D7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A" w:rsidRPr="00CC5352" w:rsidRDefault="00C94E39">
    <w:pPr>
      <w:pStyle w:val="Nagwek"/>
      <w:rPr>
        <w:rFonts w:ascii="Arial" w:hAnsi="Arial" w:cs="Arial"/>
      </w:rPr>
    </w:pP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9F"/>
    <w:multiLevelType w:val="hybridMultilevel"/>
    <w:tmpl w:val="DEF4DF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B"/>
    <w:rsid w:val="00003F64"/>
    <w:rsid w:val="000F711A"/>
    <w:rsid w:val="00341AF0"/>
    <w:rsid w:val="003E466B"/>
    <w:rsid w:val="004244BE"/>
    <w:rsid w:val="00573953"/>
    <w:rsid w:val="005B1721"/>
    <w:rsid w:val="006F0D52"/>
    <w:rsid w:val="00717CAA"/>
    <w:rsid w:val="007A550E"/>
    <w:rsid w:val="007F229C"/>
    <w:rsid w:val="008755AF"/>
    <w:rsid w:val="008E6301"/>
    <w:rsid w:val="00982C62"/>
    <w:rsid w:val="009F27C6"/>
    <w:rsid w:val="00B90598"/>
    <w:rsid w:val="00BB4863"/>
    <w:rsid w:val="00C94E39"/>
    <w:rsid w:val="00D753A5"/>
    <w:rsid w:val="00DB040A"/>
    <w:rsid w:val="00E016C3"/>
    <w:rsid w:val="00EA7061"/>
    <w:rsid w:val="00EB5B8B"/>
    <w:rsid w:val="00EC2625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DB7D-EA45-466F-8650-F255149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7</cp:revision>
  <cp:lastPrinted>2017-03-09T10:39:00Z</cp:lastPrinted>
  <dcterms:created xsi:type="dcterms:W3CDTF">2019-04-18T10:54:00Z</dcterms:created>
  <dcterms:modified xsi:type="dcterms:W3CDTF">2019-05-20T08:24:00Z</dcterms:modified>
</cp:coreProperties>
</file>