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6E60FD" w:rsidRDefault="00B52B57" w:rsidP="00B52B57">
      <w:pPr>
        <w:pStyle w:val="Standard"/>
        <w:spacing w:before="240" w:after="240"/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</w:pPr>
      <w:r w:rsidRPr="006E60FD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et nr 1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DF0906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  <w:t>Opis</w:t>
            </w:r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proofErr w:type="spellStart"/>
            <w:r w:rsidRPr="00DF090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</w:pPr>
            <w:r w:rsidRPr="00DF0906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  <w:t>Cena</w:t>
            </w:r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jedn</w:t>
            </w:r>
            <w:proofErr w:type="spellEnd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Cena</w:t>
            </w:r>
            <w:proofErr w:type="spellEnd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jedn</w:t>
            </w:r>
            <w:proofErr w:type="spellEnd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</w:p>
          <w:p w:rsidR="00B52B57" w:rsidRPr="00DF0906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0906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2A556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pacing w:before="240"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F090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2A556D" w:rsidP="0078407D">
            <w:pPr>
              <w:pStyle w:val="TableContents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Dieta kompletna pod względem odżywczym,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normokaloryczna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i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normobiałkowa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(4g/100ml) płynna dieta peptydowa, źródłem białka jest serwatka, bogata w kwasy tłuszczowe MCT-70%. Do podawania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doustanie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lub przez zgłębnik.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Osm</w:t>
            </w:r>
            <w:bookmarkStart w:id="0" w:name="_GoBack"/>
            <w:bookmarkEnd w:id="0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olarność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max. 220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mOsm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/l. Opakowanie butelka zapadalna, półsztywna, półprzeźroczysta, za wskaźnikiem zużycia diety – 500 ml.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  <w:t xml:space="preserve">560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  <w:t>sztuk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B52B57" w:rsidRPr="00DF0906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pacing w:before="240"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</w:pPr>
            <w:r w:rsidRPr="00DF0906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TableContents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Pł</w:t>
            </w:r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ynna dieta peptydowa kompletna pod względem odżywczym, wysokoenergetyczna (1,5 kcal/ml) i wysokobiałkowa (47g/500ml), bogata w kwasy tłuszczowe omega-3.50% tłuszczów w postaci MCT. Stosunek omega-6 : omega-3 wynosi 1,8 :1. Do podawania doustnie lub przez zgłębnik.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Osmolarność</w:t>
            </w:r>
            <w:proofErr w:type="spellEnd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maksymalnie do 425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mOsm</w:t>
            </w:r>
            <w:proofErr w:type="spellEnd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/l. Opakowanie butelka zapadalna, półsztywna, półprzeźroczysta, ze wskaźnikiem zużycia diety -500ml.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  <w:t>430 s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ztuk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B52B57" w:rsidRPr="00DF0906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pacing w:before="240" w:line="36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</w:pPr>
            <w:r w:rsidRPr="00DF0906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TableContents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Płynna dieta peptydowa pod względem odżywczym,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normokaloryczna</w:t>
            </w:r>
            <w:proofErr w:type="spellEnd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(1 kcal/ml), wysokobiałkowa 46g/500ml (37% energii z białka). 50% tłuszczów w postaci MCT. Niska zawartość węglowodanów (29% energii). Do podawania przez zgłębnik.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Osmolarność</w:t>
            </w:r>
            <w:proofErr w:type="spellEnd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278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mOsm</w:t>
            </w:r>
            <w:proofErr w:type="spellEnd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/l. Opakowanie butelka zapadalna, półsztywna, półprzeźroczysta, ze wskaźnikiem zużycia diety -500ml.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</w:pPr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  <w:t xml:space="preserve">430 </w:t>
            </w:r>
            <w:proofErr w:type="spellStart"/>
            <w:r w:rsidRPr="00DF0906">
              <w:rPr>
                <w:rFonts w:ascii="Century Gothic" w:hAnsi="Century Gothic" w:cs="Arial"/>
                <w:color w:val="000000"/>
                <w:sz w:val="18"/>
                <w:szCs w:val="18"/>
                <w:lang w:val="de-DE"/>
              </w:rPr>
              <w:t>sztuk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B57" w:rsidRPr="00DF0906" w:rsidRDefault="00B52B57" w:rsidP="0078407D">
            <w:pPr>
              <w:pStyle w:val="Standard"/>
              <w:snapToGrid w:val="0"/>
              <w:spacing w:before="240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B52B57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B52B57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B52B57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et nr 2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</w:p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proofErr w:type="spellStart"/>
            <w:r w:rsidRPr="006E60FD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Atozyban</w:t>
            </w:r>
            <w:proofErr w:type="spellEnd"/>
            <w:r w:rsidRPr="006E60FD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6,75 mg/0,9 ml 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ro</w:t>
            </w:r>
            <w:r w:rsidRPr="006E60FD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do </w:t>
            </w:r>
            <w:proofErr w:type="spellStart"/>
            <w:r w:rsidRPr="006E60FD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wstrzykiwań</w:t>
            </w:r>
            <w:proofErr w:type="spellEnd"/>
          </w:p>
          <w:p w:rsidR="00B52B57" w:rsidRPr="006E60FD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344A75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44A75">
              <w:rPr>
                <w:rFonts w:ascii="Century Gothic" w:hAnsi="Century Gothic" w:cs="Arial"/>
                <w:sz w:val="18"/>
                <w:szCs w:val="18"/>
                <w:lang w:val="pl-PL"/>
              </w:rPr>
              <w:t>50 fiolek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</w:p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proofErr w:type="spellStart"/>
            <w:r w:rsidRPr="006E60FD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Atozyban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37,5 mg/5 ml koncentrat do sporządzania roztworu do infuzji</w:t>
            </w:r>
          </w:p>
          <w:p w:rsidR="00B52B57" w:rsidRPr="006E60FD" w:rsidRDefault="00B52B57" w:rsidP="0078407D">
            <w:pPr>
              <w:pStyle w:val="Standard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344A75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44A75">
              <w:rPr>
                <w:rFonts w:ascii="Century Gothic" w:hAnsi="Century Gothic" w:cs="Arial"/>
                <w:sz w:val="18"/>
                <w:szCs w:val="18"/>
                <w:lang w:val="pl-PL"/>
              </w:rPr>
              <w:t>190 fiolek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</w:tbl>
    <w:p w:rsidR="00B52B57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5206FA" w:rsidRDefault="00B52B57" w:rsidP="00B52B57">
      <w:pPr>
        <w:pStyle w:val="Standard"/>
        <w:spacing w:after="240"/>
        <w:jc w:val="both"/>
        <w:rPr>
          <w:rFonts w:ascii="Century Gothic" w:eastAsia="Times New Roman" w:hAnsi="Century Gothic" w:cs="Century Gothic"/>
          <w:b/>
          <w:iCs/>
          <w:color w:val="00000A"/>
          <w:sz w:val="18"/>
          <w:szCs w:val="18"/>
          <w:lang w:val="pl-PL"/>
        </w:rPr>
      </w:pPr>
      <w:r w:rsidRPr="005206FA">
        <w:rPr>
          <w:rFonts w:ascii="Century Gothic" w:eastAsia="Times New Roman" w:hAnsi="Century Gothic" w:cs="Century Gothic"/>
          <w:b/>
          <w:iCs/>
          <w:color w:val="00000A"/>
          <w:sz w:val="18"/>
          <w:szCs w:val="18"/>
          <w:lang w:val="pl-PL"/>
        </w:rPr>
        <w:t>Obie dawki leku muszą pochodzić od jednego producenta.</w:t>
      </w:r>
    </w:p>
    <w:p w:rsidR="00B52B57" w:rsidRPr="00292FAD" w:rsidRDefault="00B52B57" w:rsidP="00B52B57">
      <w:pPr>
        <w:pStyle w:val="Standard"/>
        <w:spacing w:after="240"/>
        <w:jc w:val="both"/>
        <w:rPr>
          <w:rFonts w:ascii="Century Gothic" w:eastAsia="Times New Roman" w:hAnsi="Century Gothic" w:cs="Century Gothic"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344A75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344A75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344A75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 xml:space="preserve">et nr 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3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K</w:t>
            </w:r>
            <w:r w:rsidRPr="00344A75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oncentrat pierwiastków śladowych do żywienia pozajelitowego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w postaci soli organicznych o składzie molowym (</w:t>
            </w:r>
            <w:r w:rsidRPr="00344A75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µmol / 10 ml) Zn 153; Cu 4,7; Mn 1,0; F 50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; I 1,0; Se 0,9; Mo 0,21; Cr 0,19; Fe 18. 10 ml roztworu w ampułce.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344A75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350 sztuk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</w:tbl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344A75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344A75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344A75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 xml:space="preserve">et nr 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4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</w:pPr>
            <w:proofErr w:type="spellStart"/>
            <w:r w:rsidRPr="00BA021B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Propofolum</w:t>
            </w:r>
            <w:proofErr w:type="spellEnd"/>
            <w:r w:rsidRPr="00BA021B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A021B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emulsja</w:t>
            </w:r>
            <w:proofErr w:type="spellEnd"/>
            <w:r w:rsidRPr="00BA021B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 inj. 10 mg/ml MCT/LCT </w:t>
            </w:r>
            <w:proofErr w:type="spellStart"/>
            <w:r w:rsidRPr="00BA021B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fiol</w:t>
            </w:r>
            <w:proofErr w:type="spellEnd"/>
            <w:r w:rsidRPr="00BA021B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 20 ml. </w:t>
            </w:r>
          </w:p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</w:pPr>
          </w:p>
          <w:p w:rsidR="00B52B57" w:rsidRPr="00563A72" w:rsidRDefault="00B52B57" w:rsidP="0078407D">
            <w:pPr>
              <w:pStyle w:val="Standard"/>
              <w:rPr>
                <w:rFonts w:ascii="Century Gothic" w:hAnsi="Century Gothic" w:cs="Arial"/>
                <w:bCs/>
                <w:i/>
                <w:color w:val="00000A"/>
                <w:sz w:val="18"/>
                <w:szCs w:val="18"/>
                <w:lang w:val="pl-PL"/>
              </w:rPr>
            </w:pPr>
            <w:r w:rsidRPr="00563A72">
              <w:rPr>
                <w:rFonts w:ascii="Century Gothic" w:hAnsi="Century Gothic" w:cs="Arial"/>
                <w:bCs/>
                <w:i/>
                <w:color w:val="00000A"/>
                <w:sz w:val="18"/>
                <w:szCs w:val="18"/>
                <w:lang w:val="pl-PL"/>
              </w:rPr>
              <w:t xml:space="preserve">Wymagane, aby w charakterystyce produktu leczniczego znajdowały się dokładne dane / zalecenia dotyczące podawania produktu leczniczego w czasie wprowadzania </w:t>
            </w:r>
            <w:r w:rsidRPr="00563A72">
              <w:rPr>
                <w:rFonts w:ascii="Century Gothic" w:hAnsi="Century Gothic" w:cs="Arial"/>
                <w:bCs/>
                <w:i/>
                <w:color w:val="00000A"/>
                <w:sz w:val="18"/>
                <w:szCs w:val="18"/>
                <w:lang w:val="pl-PL"/>
              </w:rPr>
              <w:br/>
              <w:t>i podt</w:t>
            </w:r>
            <w:r>
              <w:rPr>
                <w:rFonts w:ascii="Century Gothic" w:hAnsi="Century Gothic" w:cs="Arial"/>
                <w:bCs/>
                <w:i/>
                <w:color w:val="00000A"/>
                <w:sz w:val="18"/>
                <w:szCs w:val="18"/>
                <w:lang w:val="pl-PL"/>
              </w:rPr>
              <w:t>rzymywania znieczulenia ogólnego</w:t>
            </w:r>
            <w:r w:rsidRPr="00563A72">
              <w:rPr>
                <w:rFonts w:ascii="Century Gothic" w:hAnsi="Century Gothic" w:cs="Arial"/>
                <w:bCs/>
                <w:i/>
                <w:color w:val="00000A"/>
                <w:sz w:val="18"/>
                <w:szCs w:val="18"/>
                <w:lang w:val="pl-PL"/>
              </w:rPr>
              <w:t xml:space="preserve"> prowadzonego za pomocą systemu TCI co jest istotne z punktu widzenia zachowania zasad bezpieczeństwa klinicznego pacjenta. </w:t>
            </w:r>
            <w:r w:rsidRPr="005206FA">
              <w:rPr>
                <w:rFonts w:ascii="Century Gothic" w:hAnsi="Century Gothic" w:cs="Arial"/>
                <w:b/>
                <w:bCs/>
                <w:i/>
                <w:color w:val="00000A"/>
                <w:sz w:val="18"/>
                <w:szCs w:val="18"/>
                <w:lang w:val="pl-PL"/>
              </w:rPr>
              <w:t>Potwierdzone CHPL-charakterystyka produktu leczniczego.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344A75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5000 fiolek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</w:tbl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Default="00B52B57" w:rsidP="00B52B57">
      <w:pPr>
        <w:pStyle w:val="Standard"/>
        <w:spacing w:before="240" w:after="240"/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</w:pPr>
      <w:r w:rsidRPr="00344A75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344A75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 xml:space="preserve">et nr 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5</w:t>
      </w:r>
    </w:p>
    <w:p w:rsidR="00B52B57" w:rsidRPr="00BA021B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FD3F8A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 xml:space="preserve">Insuliny </w:t>
      </w:r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 xml:space="preserve">w postaci wkładów do </w:t>
      </w:r>
      <w:proofErr w:type="spellStart"/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>wstrzykiwaczy</w:t>
      </w:r>
      <w:proofErr w:type="spellEnd"/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 xml:space="preserve"> przeznaczone do stosowania </w:t>
      </w:r>
      <w:proofErr w:type="spellStart"/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>wstrzykiwaczem</w:t>
      </w:r>
      <w:proofErr w:type="spellEnd"/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 xml:space="preserve"> oznakowanym CE </w:t>
      </w:r>
      <w:proofErr w:type="spellStart"/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>Gensupenmen</w:t>
      </w:r>
      <w:proofErr w:type="spellEnd"/>
      <w:r w:rsidRPr="00BA021B">
        <w:rPr>
          <w:rFonts w:ascii="Century Gothic" w:hAnsi="Century Gothic" w:cs="Arial"/>
          <w:bCs/>
          <w:color w:val="00000A"/>
          <w:sz w:val="18"/>
          <w:szCs w:val="18"/>
          <w:lang w:val="pl-PL"/>
        </w:rPr>
        <w:t xml:space="preserve"> lub kompatybilnych.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D3F8A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Insulina ludzka szybkodziałająca 1 ml zawiera 100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jm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insuliny ludzkiej rozpuszczalnej. Roztwór do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wstrzykiwań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, podanie pod skórne, dożylne, domięśniowe. Wkład 3 ml. Opakowanie 5 wkładów.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344A75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40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op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C2AC2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DC2AC2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D3F8A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Mieszanina insuliny szybkodziałającej i insuliny długodziałającej. Zawiesina do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wstrzykiwań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1 ml zawiera 100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jm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insuliny ludzkiej (30% insuliny rozpuszczalnej i 70% insuliny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izofenowej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). Podanie podskórne, domięśniowe. Wkład 3ml. Opakowanie 5 wkładów.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op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DC2AC2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D3F8A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Insulina ludzka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izofanowa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, długodziałająca. Zawiesina do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wstrzykiwań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100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jm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/ml. Wkład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po 3 ml. Opakowanie 5 wkładów.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20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op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D3F8A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Mieszanina insuliny szybkodziałającej i długodziałającej.  Zawiesina do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wstrzykiwań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1 ml zawiera 100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jm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insuliny ludzkiej (50% insuliny rozpuszczalnej i 50% insuliny </w:t>
            </w:r>
            <w:proofErr w:type="spellStart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izofanowej</w:t>
            </w:r>
            <w:proofErr w:type="spellEnd"/>
            <w:r w:rsidRPr="00FD3F8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). Podanie podskórne, domięśniowe. Wkład 3ml. 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Opakowanie 5 wkładów.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15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op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  <w:tr w:rsidR="00B52B57" w:rsidRPr="006E60FD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Mieszanina insuliny szybkodziałającej i długodziałającej. Zawiesina do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wstrzykiwań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1 ml zawiera 100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jm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insuliny ludzkiej (40% insuliny rozpuszczalnej i 60% insuliny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izofanowej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). Podanie podskórne, domięśniowe. Wkład 3ml. Opakowanie 5 wkładów.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3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op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</w:tbl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344A75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344A75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344A75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 xml:space="preserve">et nr 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6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686774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</w:pPr>
            <w:r w:rsidRPr="00686774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Calcium </w:t>
            </w:r>
            <w:proofErr w:type="spellStart"/>
            <w:r w:rsidRPr="00686774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glubionas</w:t>
            </w:r>
            <w:proofErr w:type="spellEnd"/>
            <w:r w:rsidRPr="00686774"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 10% inj. 10 ml x 5 amp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86774">
              <w:rPr>
                <w:rFonts w:ascii="Century Gothic" w:hAnsi="Century Gothic" w:cs="Arial"/>
                <w:sz w:val="18"/>
                <w:szCs w:val="18"/>
              </w:rPr>
              <w:t>2000 op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</w:tr>
    </w:tbl>
    <w:p w:rsidR="00B52B57" w:rsidRPr="00686774" w:rsidRDefault="00B52B57" w:rsidP="00B52B57">
      <w:pPr>
        <w:jc w:val="right"/>
        <w:rPr>
          <w:rFonts w:ascii="Century Gothic" w:hAnsi="Century Gothic" w:cs="Arial"/>
          <w:b/>
          <w:sz w:val="18"/>
          <w:szCs w:val="18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344A75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344A75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344A75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 xml:space="preserve">et nr 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7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686774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(200 mg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sulfametoksazol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 + 40 mg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Trimetoprimu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) / 5 ml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syrop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>butelka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</w:rPr>
              <w:t xml:space="preserve"> 100 ml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 op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86774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</w:p>
        </w:tc>
      </w:tr>
    </w:tbl>
    <w:p w:rsidR="00B52B57" w:rsidRPr="00686774" w:rsidRDefault="00B52B57" w:rsidP="00B52B57">
      <w:pPr>
        <w:jc w:val="right"/>
        <w:rPr>
          <w:rFonts w:ascii="Century Gothic" w:hAnsi="Century Gothic" w:cs="Arial"/>
          <w:b/>
          <w:sz w:val="18"/>
          <w:szCs w:val="18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  <w:r w:rsidRPr="00FF3BA8">
        <w:rPr>
          <w:rFonts w:ascii="Century Gothic" w:hAnsi="Century Gothic" w:cs="Arial"/>
          <w:b/>
          <w:sz w:val="18"/>
          <w:szCs w:val="18"/>
          <w:lang w:val="pl-PL"/>
        </w:rPr>
        <w:t>Załącznik nr 1 do SIWZ - Formularz Szczegółowy Oferty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hAnsi="Century Gothic" w:cs="Arial"/>
          <w:sz w:val="18"/>
          <w:szCs w:val="18"/>
          <w:lang w:val="pl-PL"/>
        </w:rPr>
        <w:t>oznaczenie postępowania: DA.ZP.242.31.2019</w:t>
      </w:r>
    </w:p>
    <w:p w:rsidR="00B52B57" w:rsidRPr="00344A75" w:rsidRDefault="00B52B57" w:rsidP="00B52B57">
      <w:pPr>
        <w:pStyle w:val="Standard"/>
        <w:spacing w:before="240" w:after="240"/>
        <w:rPr>
          <w:rFonts w:ascii="Century Gothic" w:hAnsi="Century Gothic" w:cs="Arial"/>
          <w:sz w:val="18"/>
          <w:szCs w:val="18"/>
          <w:lang w:val="pl-PL"/>
        </w:rPr>
      </w:pPr>
      <w:r w:rsidRPr="00344A75">
        <w:rPr>
          <w:rFonts w:ascii="Century Gothic" w:hAnsi="Century Gothic" w:cs="Arial"/>
          <w:b/>
          <w:color w:val="00000A"/>
          <w:sz w:val="18"/>
          <w:szCs w:val="18"/>
          <w:lang w:val="pl-PL"/>
        </w:rPr>
        <w:t>Paki</w:t>
      </w:r>
      <w:r w:rsidRPr="00344A75"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 xml:space="preserve">et nr </w:t>
      </w:r>
      <w:r>
        <w:rPr>
          <w:rFonts w:ascii="Century Gothic" w:hAnsi="Century Gothic" w:cs="Arial"/>
          <w:b/>
          <w:bCs/>
          <w:color w:val="00000A"/>
          <w:sz w:val="18"/>
          <w:szCs w:val="18"/>
          <w:lang w:val="pl-PL"/>
        </w:rPr>
        <w:t>8</w:t>
      </w:r>
    </w:p>
    <w:tbl>
      <w:tblPr>
        <w:tblW w:w="14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1559"/>
        <w:gridCol w:w="567"/>
        <w:gridCol w:w="709"/>
        <w:gridCol w:w="1134"/>
        <w:gridCol w:w="1276"/>
        <w:gridCol w:w="708"/>
        <w:gridCol w:w="1134"/>
        <w:gridCol w:w="1276"/>
      </w:tblGrid>
      <w:tr w:rsidR="00B52B57" w:rsidRPr="00FF3BA8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Opis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  <w:t>Nazwa własna, wielkość opakowania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6E60FD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52B57" w:rsidRPr="006E60FD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6E60FD">
              <w:rPr>
                <w:rFonts w:ascii="Century Gothic" w:hAnsi="Century Gothic" w:cs="Arial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VAT w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Cena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jedn</w:t>
            </w:r>
            <w:proofErr w:type="spellEnd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 xml:space="preserve">. </w:t>
            </w: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Wartość</w:t>
            </w:r>
            <w:proofErr w:type="spellEnd"/>
          </w:p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FF3BA8"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brutto</w:t>
            </w:r>
            <w:proofErr w:type="spellEnd"/>
          </w:p>
        </w:tc>
      </w:tr>
      <w:tr w:rsidR="00B52B57" w:rsidRPr="009E281A" w:rsidTr="0078407D">
        <w:tc>
          <w:tcPr>
            <w:tcW w:w="49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FF3BA8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</w:pPr>
            <w:r w:rsidRPr="009E281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Podtlenek azotu (</w:t>
            </w:r>
            <w:proofErr w:type="spellStart"/>
            <w:r w:rsidRPr="009E281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nitrogeniu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m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oxydulatum</w:t>
            </w:r>
            <w:proofErr w:type="spellEnd"/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)</w:t>
            </w:r>
            <w:r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br/>
              <w:t>G</w:t>
            </w:r>
            <w:r w:rsidRPr="009E281A">
              <w:rPr>
                <w:rFonts w:ascii="Century Gothic" w:hAnsi="Century Gothic" w:cs="Arial"/>
                <w:bCs/>
                <w:color w:val="00000A"/>
                <w:sz w:val="18"/>
                <w:szCs w:val="18"/>
                <w:lang w:val="pl-PL"/>
              </w:rPr>
              <w:t>az medyczny – butla 7 kg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250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B57" w:rsidRPr="009E281A" w:rsidRDefault="00B52B57" w:rsidP="0078407D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A"/>
                <w:sz w:val="18"/>
                <w:szCs w:val="18"/>
                <w:lang w:val="pl-PL"/>
              </w:rPr>
            </w:pPr>
          </w:p>
        </w:tc>
      </w:tr>
    </w:tbl>
    <w:p w:rsidR="00B52B57" w:rsidRPr="009E281A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52B57" w:rsidRPr="00FF3BA8" w:rsidRDefault="00B52B57" w:rsidP="00B52B57">
      <w:pPr>
        <w:pStyle w:val="Standard"/>
        <w:spacing w:before="240" w:after="60"/>
        <w:rPr>
          <w:rFonts w:ascii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52B57" w:rsidRPr="00FF3BA8" w:rsidRDefault="00B52B57" w:rsidP="00B52B57">
  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color w:val="00000A"/>
          <w:sz w:val="18"/>
          <w:szCs w:val="18"/>
          <w:lang w:val="pl-PL"/>
        </w:rPr>
      </w:pPr>
    </w:p>
    <w:p w:rsidR="00B52B57" w:rsidRPr="00FF3BA8" w:rsidRDefault="00B52B57" w:rsidP="00B52B57">
      <w:pPr>
        <w:pStyle w:val="Standard"/>
        <w:jc w:val="right"/>
        <w:rPr>
          <w:rFonts w:ascii="Century Gothic" w:hAnsi="Century Gothic" w:cs="Arial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</w:t>
      </w:r>
      <w:r w:rsidRPr="00FF3BA8">
        <w:rPr>
          <w:rFonts w:ascii="Century Gothic" w:hAnsi="Century Gothic" w:cs="Arial"/>
          <w:color w:val="00000A"/>
          <w:sz w:val="18"/>
          <w:szCs w:val="18"/>
          <w:lang w:val="pl-PL"/>
        </w:rPr>
        <w:t>................................................................................</w:t>
      </w:r>
    </w:p>
    <w:p w:rsidR="00B52B57" w:rsidRPr="00FF3BA8" w:rsidRDefault="00B52B57" w:rsidP="00B52B57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</w:pPr>
      <w:r w:rsidRPr="00FF3BA8">
        <w:rPr>
          <w:rFonts w:ascii="Century Gothic" w:eastAsia="Century Gothic" w:hAnsi="Century Gothic" w:cs="Arial"/>
          <w:b/>
          <w:b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FF3BA8">
        <w:rPr>
          <w:rFonts w:ascii="Century Gothic" w:eastAsia="Century Gothic" w:hAnsi="Century Gothic" w:cs="Arial"/>
          <w:color w:val="00000A"/>
          <w:sz w:val="18"/>
          <w:szCs w:val="18"/>
          <w:lang w:val="pl-PL"/>
        </w:rPr>
        <w:t xml:space="preserve">                                          </w:t>
      </w:r>
      <w:r w:rsidRPr="00FF3BA8">
        <w:rPr>
          <w:rFonts w:ascii="Century Gothic" w:eastAsia="Times New Roman" w:hAnsi="Century Gothic" w:cs="Arial"/>
          <w:i/>
          <w:iCs/>
          <w:color w:val="00000A"/>
          <w:sz w:val="18"/>
          <w:szCs w:val="18"/>
          <w:lang w:val="pl-PL"/>
        </w:rPr>
        <w:t>/podpis i pieczątka upoważnionego przedstawiciela</w:t>
      </w:r>
      <w:r w:rsidRPr="00FF3BA8">
        <w:rPr>
          <w:rFonts w:ascii="Century Gothic" w:eastAsia="Times New Roman" w:hAnsi="Century Gothic" w:cs="Century Gothic"/>
          <w:i/>
          <w:iCs/>
          <w:color w:val="00000A"/>
          <w:sz w:val="18"/>
          <w:szCs w:val="18"/>
          <w:lang w:val="pl-PL"/>
        </w:rPr>
        <w:t>/</w:t>
      </w:r>
    </w:p>
    <w:p w:rsidR="00B52B57" w:rsidRPr="00FF3BA8" w:rsidRDefault="00B52B57" w:rsidP="00B52B57">
      <w:pPr>
        <w:jc w:val="right"/>
        <w:rPr>
          <w:rFonts w:ascii="Century Gothic" w:hAnsi="Century Gothic" w:cs="Arial"/>
          <w:b/>
          <w:sz w:val="18"/>
          <w:szCs w:val="18"/>
          <w:lang w:val="pl-PL"/>
        </w:rPr>
      </w:pPr>
    </w:p>
    <w:p w:rsidR="00AB45F4" w:rsidRPr="00B52B57" w:rsidRDefault="00AB45F4">
      <w:pPr>
        <w:rPr>
          <w:lang w:val="pl-PL"/>
        </w:rPr>
      </w:pPr>
    </w:p>
    <w:sectPr w:rsidR="00AB45F4" w:rsidRPr="00B52B57" w:rsidSect="006E60FD">
      <w:footerReference w:type="default" r:id="rId7"/>
      <w:pgSz w:w="16838" w:h="11906" w:orient="landscape"/>
      <w:pgMar w:top="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AD4">
      <w:r>
        <w:separator/>
      </w:r>
    </w:p>
  </w:endnote>
  <w:endnote w:type="continuationSeparator" w:id="0">
    <w:p w:rsidR="00000000" w:rsidRDefault="001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D0" w:rsidRDefault="00B52B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5AD4" w:rsidRPr="001C5AD4">
      <w:rPr>
        <w:noProof/>
        <w:lang w:val="pl-PL"/>
      </w:rPr>
      <w:t>8</w:t>
    </w:r>
    <w:r>
      <w:fldChar w:fldCharType="end"/>
    </w:r>
  </w:p>
  <w:p w:rsidR="00B704D0" w:rsidRDefault="001C5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5AD4">
      <w:r>
        <w:separator/>
      </w:r>
    </w:p>
  </w:footnote>
  <w:footnote w:type="continuationSeparator" w:id="0">
    <w:p w:rsidR="00000000" w:rsidRDefault="001C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57"/>
    <w:rsid w:val="001C5AD4"/>
    <w:rsid w:val="002A556D"/>
    <w:rsid w:val="00AB45F4"/>
    <w:rsid w:val="00B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2B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2B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52B57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B52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B5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2B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2B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52B57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B52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B5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msobolewska</dc:creator>
  <cp:lastModifiedBy>msobolewska</cp:lastModifiedBy>
  <cp:revision>2</cp:revision>
  <dcterms:created xsi:type="dcterms:W3CDTF">2019-05-09T06:29:00Z</dcterms:created>
  <dcterms:modified xsi:type="dcterms:W3CDTF">2019-05-21T09:09:00Z</dcterms:modified>
</cp:coreProperties>
</file>