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Załącznik nr </w:t>
      </w:r>
      <w:r w:rsidR="00003F64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3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do SIWZ</w:t>
      </w:r>
    </w:p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Zestawienie wymaganych parametrów techniczno-użytkowych </w:t>
      </w:r>
      <w:r w:rsidR="001D1FF6">
        <w:rPr>
          <w:rFonts w:ascii="Century Gothic" w:hAnsi="Century Gothic"/>
          <w:b/>
          <w:sz w:val="18"/>
          <w:szCs w:val="18"/>
        </w:rPr>
        <w:t>analizatora</w:t>
      </w:r>
    </w:p>
    <w:p w:rsidR="008E6301" w:rsidRPr="00982C62" w:rsidRDefault="008E6301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sz w:val="18"/>
          <w:szCs w:val="18"/>
          <w:shd w:val="clear" w:color="auto" w:fill="FFFFFF"/>
        </w:rPr>
        <w:t>Oznaczenie postępowania: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EC2625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573953">
        <w:rPr>
          <w:rFonts w:ascii="Century Gothic" w:hAnsi="Century Gothic" w:cs="Arial"/>
          <w:b/>
          <w:sz w:val="18"/>
          <w:szCs w:val="18"/>
        </w:rPr>
        <w:t>DA.ZP.2</w:t>
      </w:r>
      <w:r w:rsidR="00573953" w:rsidRPr="00CD595D">
        <w:rPr>
          <w:rFonts w:ascii="Century Gothic" w:hAnsi="Century Gothic" w:cs="Arial"/>
          <w:b/>
          <w:sz w:val="18"/>
          <w:szCs w:val="18"/>
        </w:rPr>
        <w:t>42</w:t>
      </w:r>
      <w:r w:rsidR="00EC2625" w:rsidRPr="00CD595D">
        <w:rPr>
          <w:rFonts w:ascii="Century Gothic" w:hAnsi="Century Gothic" w:cs="Arial"/>
          <w:b/>
          <w:sz w:val="18"/>
          <w:szCs w:val="18"/>
        </w:rPr>
        <w:t>.</w:t>
      </w:r>
      <w:r w:rsidR="00CD595D" w:rsidRPr="00CD595D">
        <w:rPr>
          <w:rFonts w:ascii="Century Gothic" w:hAnsi="Century Gothic" w:cs="Arial"/>
          <w:b/>
          <w:sz w:val="18"/>
          <w:szCs w:val="18"/>
        </w:rPr>
        <w:t>45.2019</w:t>
      </w:r>
    </w:p>
    <w:p w:rsidR="00D753A5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:rsidR="00EA4F2A" w:rsidRPr="00982C62" w:rsidRDefault="00EA4F2A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</w:p>
    <w:p w:rsidR="00D753A5" w:rsidRPr="00982C62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Zestawienie wymaganych parametrów techniczn</w:t>
      </w:r>
      <w:r w:rsidR="008E6301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o-użytkowych analizatora</w:t>
      </w: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i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WYMAGANE PARAMETRY i WŁAŚCIWOŚCI</w:t>
      </w:r>
      <w:r w:rsidRPr="00982C6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ANALIZATORA parametrów krytycznych </w:t>
      </w:r>
      <w:r w:rsidR="00EA4F2A">
        <w:rPr>
          <w:rFonts w:ascii="Century Gothic" w:hAnsi="Century Gothic" w:cs="Arial"/>
          <w:b/>
          <w:bCs/>
          <w:sz w:val="18"/>
          <w:szCs w:val="18"/>
          <w:lang w:val="pl-PL"/>
        </w:rPr>
        <w:t>: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D753A5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ANALIZATOR</w:t>
      </w:r>
      <w:r w:rsidR="008E6301" w:rsidRPr="00982C62">
        <w:rPr>
          <w:rFonts w:ascii="Century Gothic" w:hAnsi="Century Gothic" w:cs="Arial"/>
          <w:b/>
          <w:sz w:val="18"/>
          <w:szCs w:val="18"/>
          <w:lang w:val="pl-PL"/>
        </w:rPr>
        <w:t>:</w:t>
      </w: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Typ: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Model: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Producent: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DF7BD8" w:rsidP="00D753A5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b/>
          <w:sz w:val="18"/>
          <w:szCs w:val="18"/>
          <w:lang w:val="pl-PL"/>
        </w:rPr>
        <w:t>Wartość analizatora</w:t>
      </w:r>
      <w:r w:rsidR="008E6301" w:rsidRPr="00982C62">
        <w:rPr>
          <w:rFonts w:ascii="Century Gothic" w:hAnsi="Century Gothic" w:cs="Arial"/>
          <w:b/>
          <w:sz w:val="18"/>
          <w:szCs w:val="18"/>
          <w:lang w:val="pl-PL"/>
        </w:rPr>
        <w:t xml:space="preserve">: </w:t>
      </w:r>
      <w:r w:rsidR="008E6301" w:rsidRPr="00982C62">
        <w:rPr>
          <w:rFonts w:ascii="Century Gothic" w:hAnsi="Century Gothic" w:cs="Arial"/>
          <w:sz w:val="18"/>
          <w:szCs w:val="18"/>
          <w:lang w:val="pl-PL"/>
        </w:rPr>
        <w:t>……………………………………………………………………..</w:t>
      </w:r>
      <w:r w:rsidR="00D753A5" w:rsidRPr="00982C62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tbl>
      <w:tblPr>
        <w:tblStyle w:val="Tabela-Siatka"/>
        <w:tblW w:w="9004" w:type="dxa"/>
        <w:tblLayout w:type="fixed"/>
        <w:tblLook w:val="0000" w:firstRow="0" w:lastRow="0" w:firstColumn="0" w:lastColumn="0" w:noHBand="0" w:noVBand="0"/>
      </w:tblPr>
      <w:tblGrid>
        <w:gridCol w:w="600"/>
        <w:gridCol w:w="5710"/>
        <w:gridCol w:w="2694"/>
      </w:tblGrid>
      <w:tr w:rsidR="00D753A5" w:rsidRPr="00982C62" w:rsidTr="00EC2625">
        <w:trPr>
          <w:trHeight w:val="366"/>
        </w:trPr>
        <w:tc>
          <w:tcPr>
            <w:tcW w:w="60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71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WYMAGANE PARAMETRY I WŁAŚCIWOŚCI ANALIZATORA</w:t>
            </w:r>
          </w:p>
        </w:tc>
        <w:tc>
          <w:tcPr>
            <w:tcW w:w="2694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oferowana</w:t>
            </w:r>
          </w:p>
        </w:tc>
      </w:tr>
      <w:tr w:rsidR="00EA4F2A" w:rsidRPr="00982C62" w:rsidTr="00EC2625">
        <w:trPr>
          <w:trHeight w:val="366"/>
        </w:trPr>
        <w:tc>
          <w:tcPr>
            <w:tcW w:w="600" w:type="dxa"/>
            <w:shd w:val="clear" w:color="auto" w:fill="auto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710" w:type="dxa"/>
            <w:shd w:val="clear" w:color="auto" w:fill="auto"/>
          </w:tcPr>
          <w:p w:rsidR="00EA4F2A" w:rsidRPr="00EA4F2A" w:rsidRDefault="00EA4F2A" w:rsidP="00EA4F2A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EA4F2A">
              <w:rPr>
                <w:rFonts w:ascii="Century Gothic" w:hAnsi="Century Gothic" w:cs="Arial"/>
                <w:sz w:val="18"/>
                <w:szCs w:val="18"/>
                <w:lang w:val="pl-PL"/>
              </w:rPr>
              <w:t>Rok produkcji 2019, urządzenie fabrycznie nowe.</w:t>
            </w:r>
          </w:p>
        </w:tc>
        <w:tc>
          <w:tcPr>
            <w:tcW w:w="2694" w:type="dxa"/>
            <w:shd w:val="clear" w:color="auto" w:fill="auto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65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Zasilanie awaryjne urządzenia z wbudowanego akumulatora w wypadku zaniku zasilania sieciowego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710" w:type="dxa"/>
          </w:tcPr>
          <w:p w:rsidR="00EA4F2A" w:rsidRPr="00982C62" w:rsidRDefault="00EA4F2A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pH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pCO2, pO2,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MetHb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O2Hb,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COHb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HbF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sO2,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cNa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cK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(zakres pomiarowy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od 0,1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mmol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/L),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-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sym w:font="Symbol" w:char="F060"/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glukoza, mleczany, bilirubina całkowita (wymagany zakres pomiarowy dla bilirubiny od 0,0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mg/dl do przynajmniej 50 mg/dl).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Analizator pracujący w oparciu o dwa elementy zużywalne tj. wielotestowe sensorowe kasety pomiarowe oraz pakiety odczynnikowe zawierające  odczynniki, kalibratory i płyny kontroli jakości inne niż kalibratory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61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710" w:type="dxa"/>
          </w:tcPr>
          <w:p w:rsidR="00EA4F2A" w:rsidRPr="00982C62" w:rsidRDefault="00EA4F2A" w:rsidP="004244BE">
            <w:pPr>
              <w:pStyle w:val="WW-Tekstpodstawowy2"/>
              <w:snapToGrid w:val="0"/>
              <w:spacing w:line="360" w:lineRule="auto"/>
              <w:ind w:left="33"/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  <w:r w:rsidR="00DF7BD8"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268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6.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Możliwość wykonania pełnego panelu oznaczeń zarówno z kapilary jak i strzykawki (gazometria, oksymetria, metabolity, elektrolity) z próbki o objętości:</w:t>
            </w:r>
          </w:p>
          <w:p w:rsidR="00EA4F2A" w:rsidRPr="00982C62" w:rsidRDefault="00EA4F2A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maksymalnie 45µl – z kapilary</w:t>
            </w:r>
          </w:p>
          <w:p w:rsidR="00EA4F2A" w:rsidRPr="00982C62" w:rsidRDefault="00EA4F2A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maksymalnie 65 µl – ze strzykawki</w:t>
            </w:r>
          </w:p>
          <w:p w:rsidR="00EA4F2A" w:rsidRPr="00982C62" w:rsidRDefault="00EA4F2A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w czasie maksymalnie 60 sekund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564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7.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Automatyczny system pobierania próbek z funkcją wykrywania i usuwania skrzepów</w:t>
            </w:r>
            <w:r w:rsidR="00DF7BD8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570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Automatyczne mieszanie próbki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9.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codzienna automatyczna kontrola jakości na trzech poziomach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. Wyniki kontroli jakości wykonywane na analizatorze przedstawione jako wartość liczbowa (nominalna).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10.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 zintegrowane z pojemnikiem ściekowym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555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11.</w:t>
            </w:r>
          </w:p>
        </w:tc>
        <w:tc>
          <w:tcPr>
            <w:tcW w:w="5710" w:type="dxa"/>
          </w:tcPr>
          <w:p w:rsidR="00EA4F2A" w:rsidRPr="00982C62" w:rsidRDefault="00EA4F2A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Trwałość kaset pomiarowych oraz pakietów odczynnikowych, liczona od dnia zainstalowania w aparacie, nie mniejsza niż 30 dni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833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12.</w:t>
            </w:r>
          </w:p>
        </w:tc>
        <w:tc>
          <w:tcPr>
            <w:tcW w:w="5710" w:type="dxa"/>
          </w:tcPr>
          <w:p w:rsidR="00EA4F2A" w:rsidRPr="00982C62" w:rsidRDefault="00EA4F2A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Pomiar wszystkich parametrów w jednym torze pomiarowym z jedną elektrodą referencyjną</w:t>
            </w:r>
            <w:r w:rsidR="00DF7BD8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EA4F2A" w:rsidRPr="00982C62" w:rsidRDefault="00EA4F2A" w:rsidP="00D753A5">
            <w:pPr>
              <w:pStyle w:val="Standard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85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13.</w:t>
            </w:r>
          </w:p>
        </w:tc>
        <w:tc>
          <w:tcPr>
            <w:tcW w:w="5710" w:type="dxa"/>
          </w:tcPr>
          <w:p w:rsidR="00EA4F2A" w:rsidRPr="00982C62" w:rsidRDefault="00EA4F2A" w:rsidP="00B90598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re-instalacji pakietu odczynnikowego oraz kasety sensorowej bez utraty pozostałych testów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14.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drukarka oraz czytnik kodów kreskowych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15.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przechowywania kaset odczynnikowych w temperaturze pokojowej.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16.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Brak konieczności kalibracji po każdym oznaczeniu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499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17.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Okres dzierżawy i gwarancji: 36 miesięcy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54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18.</w:t>
            </w:r>
          </w:p>
        </w:tc>
        <w:tc>
          <w:tcPr>
            <w:tcW w:w="5710" w:type="dxa"/>
          </w:tcPr>
          <w:p w:rsidR="00EA4F2A" w:rsidRPr="00982C62" w:rsidRDefault="00EA4F2A" w:rsidP="00EA4F2A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Na okres trwania umowy wydzierżawiający udziela pełnej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gwarancji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,  bezpłat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ne naprawy oraz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części zamienne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19.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Instrukcja obsługi w języku polskim (dostawa wraz z urządzeniem)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20.</w:t>
            </w:r>
          </w:p>
        </w:tc>
        <w:tc>
          <w:tcPr>
            <w:tcW w:w="5710" w:type="dxa"/>
          </w:tcPr>
          <w:p w:rsidR="00EA4F2A" w:rsidRPr="00982C62" w:rsidRDefault="00EA4F2A" w:rsidP="00E016C3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zdalnego nadzoru analizatora będącego w tej samej podsieci szpitalnej z poziomu laboratorium przy użyciu  dostarczonego przez firmę oprogramowania. System dający możliwość podglądu na żywo statusu analizatora, kontroli jakości, kalibracji, wyników pacjenta zgodnie z wytycznymi  dla POCT.  System dający możliwość sterowania analizatora.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366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21.</w:t>
            </w:r>
          </w:p>
        </w:tc>
        <w:tc>
          <w:tcPr>
            <w:tcW w:w="5710" w:type="dxa"/>
          </w:tcPr>
          <w:p w:rsidR="00EA4F2A" w:rsidRPr="00982C62" w:rsidRDefault="00EA4F2A" w:rsidP="00E016C3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Wykonawca zapewni nadzór nad aparatem przez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serwis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poprzez zdalny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dostęp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do analizatora bezpośrednio na jego pulpit. Zdalny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dostęp ma umożliwić usunięcie awarii aparatu, w możliwie krótkim czasie od momentu telefonicznego zgłoszenia. Wykonawca dostarczy opis rozwiązania w 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lastRenderedPageBreak/>
              <w:t>momencie składania ofert. Dostęp do infrastruktury sieci szpitalnej zostanie udzielony Wykonawcy po wcześniejszym uzgodnieniu z działem IT szpitala.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722"/>
        </w:trPr>
        <w:tc>
          <w:tcPr>
            <w:tcW w:w="600" w:type="dxa"/>
          </w:tcPr>
          <w:p w:rsidR="00EA4F2A" w:rsidRPr="00982C62" w:rsidRDefault="00EA4F2A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22.</w:t>
            </w:r>
          </w:p>
        </w:tc>
        <w:tc>
          <w:tcPr>
            <w:tcW w:w="5710" w:type="dxa"/>
          </w:tcPr>
          <w:p w:rsidR="00EA4F2A" w:rsidRPr="00982C62" w:rsidRDefault="00EA4F2A" w:rsidP="00D753A5">
            <w:pPr>
              <w:pStyle w:val="Standard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Oprogramowanie i komunikaty w języku polskim</w:t>
            </w:r>
            <w:r w:rsidR="00DF7BD8">
              <w:rPr>
                <w:rFonts w:ascii="Century Gothic" w:hAnsi="Century Gothic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EA4F2A" w:rsidRPr="00982C62" w:rsidTr="008E6301">
        <w:trPr>
          <w:trHeight w:val="667"/>
        </w:trPr>
        <w:tc>
          <w:tcPr>
            <w:tcW w:w="600" w:type="dxa"/>
          </w:tcPr>
          <w:p w:rsidR="00EA4F2A" w:rsidRPr="00982C62" w:rsidRDefault="00DF7BD8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23.</w:t>
            </w:r>
          </w:p>
        </w:tc>
        <w:tc>
          <w:tcPr>
            <w:tcW w:w="5710" w:type="dxa"/>
          </w:tcPr>
          <w:p w:rsidR="00EA4F2A" w:rsidRPr="00982C62" w:rsidRDefault="00DF7BD8" w:rsidP="00DB040A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Nieodpłatne przeglądy serwisowe aparatu, nie rzadziej niż raz w roku z wpisem do paszportu technicznego.</w:t>
            </w:r>
          </w:p>
        </w:tc>
        <w:tc>
          <w:tcPr>
            <w:tcW w:w="2694" w:type="dxa"/>
          </w:tcPr>
          <w:p w:rsidR="00EA4F2A" w:rsidRPr="00982C62" w:rsidRDefault="00EA4F2A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F7BD8" w:rsidRPr="00982C62" w:rsidTr="008E6301">
        <w:trPr>
          <w:trHeight w:val="667"/>
        </w:trPr>
        <w:tc>
          <w:tcPr>
            <w:tcW w:w="600" w:type="dxa"/>
          </w:tcPr>
          <w:p w:rsidR="00DF7BD8" w:rsidRPr="00982C62" w:rsidRDefault="00DF7BD8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24.</w:t>
            </w:r>
          </w:p>
        </w:tc>
        <w:tc>
          <w:tcPr>
            <w:tcW w:w="5710" w:type="dxa"/>
          </w:tcPr>
          <w:p w:rsidR="00DF7BD8" w:rsidRDefault="00DF7BD8" w:rsidP="00903ED7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F4411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Czas reakcji serwisu </w:t>
            </w:r>
            <w:r w:rsidR="00903ED7">
              <w:rPr>
                <w:rFonts w:ascii="Century Gothic" w:hAnsi="Century Gothic" w:cs="Arial"/>
                <w:sz w:val="18"/>
                <w:szCs w:val="18"/>
                <w:lang w:val="pl-PL"/>
              </w:rPr>
              <w:t>24</w:t>
            </w:r>
            <w:r w:rsidRPr="000F4411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godziny, powyżej </w:t>
            </w:r>
            <w:r w:rsidR="00903ED7">
              <w:rPr>
                <w:rFonts w:ascii="Century Gothic" w:hAnsi="Century Gothic" w:cs="Arial"/>
                <w:sz w:val="18"/>
                <w:szCs w:val="18"/>
                <w:lang w:val="pl-PL"/>
              </w:rPr>
              <w:t>24</w:t>
            </w:r>
            <w:bookmarkStart w:id="0" w:name="_GoBack"/>
            <w:bookmarkEnd w:id="0"/>
            <w:r w:rsidRPr="000F4411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godzin niesprawności analizatora firma zapewni analizator zastępczy o takich samych parametrach.</w:t>
            </w:r>
          </w:p>
        </w:tc>
        <w:tc>
          <w:tcPr>
            <w:tcW w:w="2694" w:type="dxa"/>
          </w:tcPr>
          <w:p w:rsidR="00DF7BD8" w:rsidRPr="00982C62" w:rsidRDefault="00DF7BD8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F7BD8" w:rsidRPr="00982C62" w:rsidTr="008E6301">
        <w:trPr>
          <w:trHeight w:val="583"/>
        </w:trPr>
        <w:tc>
          <w:tcPr>
            <w:tcW w:w="600" w:type="dxa"/>
          </w:tcPr>
          <w:p w:rsidR="00DF7BD8" w:rsidRPr="00982C62" w:rsidRDefault="00DF7BD8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25.</w:t>
            </w:r>
          </w:p>
        </w:tc>
        <w:tc>
          <w:tcPr>
            <w:tcW w:w="5710" w:type="dxa"/>
          </w:tcPr>
          <w:p w:rsidR="00DF7BD8" w:rsidRPr="00982C62" w:rsidRDefault="00DF7BD8" w:rsidP="00D753A5">
            <w:pPr>
              <w:pStyle w:val="Stopka1"/>
              <w:snapToGrid w:val="0"/>
              <w:spacing w:line="360" w:lineRule="auto"/>
              <w:ind w:left="80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  <w:tc>
          <w:tcPr>
            <w:tcW w:w="2694" w:type="dxa"/>
          </w:tcPr>
          <w:p w:rsidR="00DF7BD8" w:rsidRPr="00982C62" w:rsidRDefault="00DF7BD8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F7BD8" w:rsidRPr="00982C62" w:rsidTr="008E6301">
        <w:trPr>
          <w:trHeight w:val="583"/>
        </w:trPr>
        <w:tc>
          <w:tcPr>
            <w:tcW w:w="600" w:type="dxa"/>
          </w:tcPr>
          <w:p w:rsidR="00DF7BD8" w:rsidRPr="00982C62" w:rsidRDefault="00DF7BD8" w:rsidP="00A64110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26.</w:t>
            </w:r>
          </w:p>
        </w:tc>
        <w:tc>
          <w:tcPr>
            <w:tcW w:w="5710" w:type="dxa"/>
          </w:tcPr>
          <w:p w:rsidR="00DF7BD8" w:rsidRPr="00982C62" w:rsidRDefault="00DF7BD8" w:rsidP="00D753A5">
            <w:pPr>
              <w:pStyle w:val="Stopka1"/>
              <w:snapToGrid w:val="0"/>
              <w:spacing w:line="360" w:lineRule="auto"/>
              <w:ind w:left="80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Możliwość pracy na analizatorze po upływie terminu umowy do czasu wykorzystania odczynników.</w:t>
            </w:r>
          </w:p>
        </w:tc>
        <w:tc>
          <w:tcPr>
            <w:tcW w:w="2694" w:type="dxa"/>
          </w:tcPr>
          <w:p w:rsidR="00DF7BD8" w:rsidRPr="00982C62" w:rsidRDefault="00DF7BD8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</w:tbl>
    <w:p w:rsidR="008E6301" w:rsidRPr="00982C62" w:rsidRDefault="008E6301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D753A5" w:rsidRPr="00982C62" w:rsidRDefault="00D753A5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t>Instrukcja:</w:t>
      </w:r>
    </w:p>
    <w:p w:rsidR="00D753A5" w:rsidRPr="00982C62" w:rsidRDefault="00D753A5" w:rsidP="00D753A5">
      <w:pPr>
        <w:pStyle w:val="Standard"/>
        <w:spacing w:line="360" w:lineRule="auto"/>
        <w:jc w:val="both"/>
        <w:rPr>
          <w:rStyle w:val="T3"/>
          <w:rFonts w:ascii="Century Gothic" w:hAnsi="Century Gothic"/>
          <w:b/>
          <w:sz w:val="18"/>
          <w:szCs w:val="18"/>
          <w:lang w:val="pl-PL"/>
        </w:rPr>
      </w:pPr>
      <w:r w:rsidRPr="00982C62">
        <w:rPr>
          <w:rStyle w:val="T2"/>
          <w:rFonts w:ascii="Century Gothic" w:hAnsi="Century Gothic"/>
          <w:sz w:val="18"/>
          <w:szCs w:val="18"/>
          <w:lang w:val="pl-PL"/>
        </w:rPr>
        <w:t xml:space="preserve">w polu „wartość oferowana” poza podaniem informacji o oferowanych parametrach np.: rok produkcji, Wykonawca wpisuje „Tak” jako potwierdzenie, iż oferowany analizator spełnia </w:t>
      </w:r>
      <w:r w:rsidR="00AF58E1">
        <w:rPr>
          <w:rStyle w:val="T2"/>
          <w:rFonts w:ascii="Century Gothic" w:hAnsi="Century Gothic"/>
          <w:sz w:val="18"/>
          <w:szCs w:val="18"/>
          <w:lang w:val="pl-PL"/>
        </w:rPr>
        <w:t>wymogi określone</w:t>
      </w:r>
      <w:r w:rsidRPr="00982C62">
        <w:rPr>
          <w:rStyle w:val="T2"/>
          <w:rFonts w:ascii="Century Gothic" w:hAnsi="Century Gothic"/>
          <w:sz w:val="18"/>
          <w:szCs w:val="18"/>
          <w:lang w:val="pl-PL"/>
        </w:rPr>
        <w:t xml:space="preserve"> przez Zamawiającego.</w:t>
      </w:r>
      <w:r w:rsidRPr="00982C62">
        <w:rPr>
          <w:rStyle w:val="T3"/>
          <w:rFonts w:ascii="Century Gothic" w:hAnsi="Century Gothic"/>
          <w:sz w:val="18"/>
          <w:szCs w:val="18"/>
          <w:lang w:val="pl-PL"/>
        </w:rPr>
        <w:t xml:space="preserve"> </w:t>
      </w:r>
      <w:r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Niespełnienie któregoś z powyższych warunków spowoduje odrzucenie oferty</w:t>
      </w:r>
      <w:r w:rsidR="008E6301"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.</w:t>
      </w:r>
    </w:p>
    <w:p w:rsidR="00D753A5" w:rsidRPr="00982C62" w:rsidRDefault="00D753A5" w:rsidP="00D753A5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</w:p>
    <w:p w:rsidR="008E6301" w:rsidRPr="00982C62" w:rsidRDefault="008E6301" w:rsidP="00D753A5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EC2625" w:rsidRPr="00982C62" w:rsidRDefault="00EC2625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…………………………...............................................................</w:t>
      </w:r>
    </w:p>
    <w:p w:rsidR="00D753A5" w:rsidRPr="00982C62" w:rsidRDefault="00DB040A" w:rsidP="00DB040A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982C62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/podpis i pieczątka upoważnionego przedstawiciela/      </w:t>
      </w:r>
    </w:p>
    <w:sectPr w:rsidR="00D753A5" w:rsidRPr="00982C62">
      <w:headerReference w:type="default" r:id="rId9"/>
      <w:footerReference w:type="default" r:id="rId10"/>
      <w:pgSz w:w="11906" w:h="16838"/>
      <w:pgMar w:top="1418" w:right="1418" w:bottom="170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69" w:rsidRDefault="00E86669" w:rsidP="00D753A5">
      <w:pPr>
        <w:spacing w:after="0" w:line="240" w:lineRule="auto"/>
      </w:pPr>
      <w:r>
        <w:separator/>
      </w:r>
    </w:p>
  </w:endnote>
  <w:endnote w:type="continuationSeparator" w:id="0">
    <w:p w:rsidR="00E86669" w:rsidRDefault="00E86669" w:rsidP="00D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0684"/>
      <w:docPartObj>
        <w:docPartGallery w:val="Page Numbers (Bottom of Page)"/>
        <w:docPartUnique/>
      </w:docPartObj>
    </w:sdtPr>
    <w:sdtEndPr/>
    <w:sdtContent>
      <w:p w:rsidR="00DB040A" w:rsidRDefault="00DB040A">
        <w:pPr>
          <w:pStyle w:val="Stopka"/>
          <w:jc w:val="center"/>
        </w:pPr>
        <w:r w:rsidRPr="00DB040A">
          <w:rPr>
            <w:rFonts w:ascii="Century Gothic" w:hAnsi="Century Gothic"/>
            <w:sz w:val="18"/>
            <w:szCs w:val="18"/>
          </w:rPr>
          <w:fldChar w:fldCharType="begin"/>
        </w:r>
        <w:r w:rsidRPr="00DB040A">
          <w:rPr>
            <w:rFonts w:ascii="Century Gothic" w:hAnsi="Century Gothic"/>
            <w:sz w:val="18"/>
            <w:szCs w:val="18"/>
          </w:rPr>
          <w:instrText>PAGE   \* MERGEFORMAT</w:instrText>
        </w:r>
        <w:r w:rsidRPr="00DB040A">
          <w:rPr>
            <w:rFonts w:ascii="Century Gothic" w:hAnsi="Century Gothic"/>
            <w:sz w:val="18"/>
            <w:szCs w:val="18"/>
          </w:rPr>
          <w:fldChar w:fldCharType="separate"/>
        </w:r>
        <w:r w:rsidR="00903ED7">
          <w:rPr>
            <w:rFonts w:ascii="Century Gothic" w:hAnsi="Century Gothic"/>
            <w:noProof/>
            <w:sz w:val="18"/>
            <w:szCs w:val="18"/>
          </w:rPr>
          <w:t>3</w:t>
        </w:r>
        <w:r w:rsidRPr="00DB040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B040A" w:rsidRDefault="00DB0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69" w:rsidRDefault="00E86669" w:rsidP="00D753A5">
      <w:pPr>
        <w:spacing w:after="0" w:line="240" w:lineRule="auto"/>
      </w:pPr>
      <w:r>
        <w:separator/>
      </w:r>
    </w:p>
  </w:footnote>
  <w:footnote w:type="continuationSeparator" w:id="0">
    <w:p w:rsidR="00E86669" w:rsidRDefault="00E86669" w:rsidP="00D7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A" w:rsidRPr="00CC5352" w:rsidRDefault="00C94E39">
    <w:pPr>
      <w:pStyle w:val="Nagwek"/>
      <w:rPr>
        <w:rFonts w:ascii="Arial" w:hAnsi="Arial" w:cs="Arial"/>
      </w:rPr>
    </w:pP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9F"/>
    <w:multiLevelType w:val="hybridMultilevel"/>
    <w:tmpl w:val="DEF4DF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8356984"/>
    <w:multiLevelType w:val="hybridMultilevel"/>
    <w:tmpl w:val="7CC6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B"/>
    <w:rsid w:val="00003F64"/>
    <w:rsid w:val="0006233E"/>
    <w:rsid w:val="000A0B0D"/>
    <w:rsid w:val="000F08B1"/>
    <w:rsid w:val="000F4411"/>
    <w:rsid w:val="000F711A"/>
    <w:rsid w:val="001D1FF6"/>
    <w:rsid w:val="00341AF0"/>
    <w:rsid w:val="003E466B"/>
    <w:rsid w:val="004244BE"/>
    <w:rsid w:val="00573953"/>
    <w:rsid w:val="005B1721"/>
    <w:rsid w:val="005D7688"/>
    <w:rsid w:val="0069354C"/>
    <w:rsid w:val="006F0D52"/>
    <w:rsid w:val="00717CAA"/>
    <w:rsid w:val="007A550E"/>
    <w:rsid w:val="007F229C"/>
    <w:rsid w:val="008755AF"/>
    <w:rsid w:val="0089756A"/>
    <w:rsid w:val="008E6301"/>
    <w:rsid w:val="00903ED7"/>
    <w:rsid w:val="00931143"/>
    <w:rsid w:val="00982C62"/>
    <w:rsid w:val="009F27C6"/>
    <w:rsid w:val="00AF58E1"/>
    <w:rsid w:val="00B00012"/>
    <w:rsid w:val="00B90598"/>
    <w:rsid w:val="00BB4863"/>
    <w:rsid w:val="00C94E39"/>
    <w:rsid w:val="00CD595D"/>
    <w:rsid w:val="00D753A5"/>
    <w:rsid w:val="00D75CEF"/>
    <w:rsid w:val="00DB040A"/>
    <w:rsid w:val="00DF7BD8"/>
    <w:rsid w:val="00E016C3"/>
    <w:rsid w:val="00E86669"/>
    <w:rsid w:val="00EA4F2A"/>
    <w:rsid w:val="00EA7061"/>
    <w:rsid w:val="00EB5B8B"/>
    <w:rsid w:val="00EC2625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1D77-4413-4483-B19C-0BE0B5C9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10</cp:revision>
  <cp:lastPrinted>2017-03-09T10:39:00Z</cp:lastPrinted>
  <dcterms:created xsi:type="dcterms:W3CDTF">2019-06-13T10:55:00Z</dcterms:created>
  <dcterms:modified xsi:type="dcterms:W3CDTF">2019-06-19T10:44:00Z</dcterms:modified>
</cp:coreProperties>
</file>