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48" w:rsidRDefault="005673C4">
      <w:pPr>
        <w:jc w:val="right"/>
        <w:rPr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Załącznik nr 1.2 do SIWZ – Formularz Szczegółowy Oferty (DA-ZP-252-46/17)</w:t>
      </w:r>
    </w:p>
    <w:p w:rsidR="00110748" w:rsidRDefault="005673C4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1"/>
          <w:szCs w:val="21"/>
        </w:rPr>
        <w:t>Pakiet nr 2</w:t>
      </w:r>
    </w:p>
    <w:p w:rsidR="00110748" w:rsidRDefault="005673C4">
      <w:pPr>
        <w:pStyle w:val="Akapitzlist"/>
        <w:ind w:left="0"/>
        <w:jc w:val="center"/>
        <w:rPr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Zestaw pomp do OINK</w:t>
      </w:r>
    </w:p>
    <w:p w:rsidR="00110748" w:rsidRDefault="005673C4">
      <w:pPr>
        <w:pStyle w:val="Akapitzlist"/>
        <w:ind w:left="0"/>
        <w:jc w:val="center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I.  Zestaw pomp </w:t>
      </w:r>
      <w:proofErr w:type="spellStart"/>
      <w:r>
        <w:rPr>
          <w:rFonts w:ascii="Times New Roman" w:hAnsi="Times New Roman"/>
          <w:sz w:val="21"/>
          <w:szCs w:val="21"/>
        </w:rPr>
        <w:t>strzykawkowych</w:t>
      </w:r>
      <w:proofErr w:type="spellEnd"/>
      <w:r>
        <w:rPr>
          <w:rFonts w:ascii="Times New Roman" w:hAnsi="Times New Roman"/>
          <w:sz w:val="21"/>
          <w:szCs w:val="21"/>
        </w:rPr>
        <w:t xml:space="preserve"> do OINK</w:t>
      </w:r>
    </w:p>
    <w:p w:rsidR="00110748" w:rsidRDefault="005673C4">
      <w:pPr>
        <w:pStyle w:val="Akapitzlist"/>
        <w:spacing w:line="360" w:lineRule="auto"/>
        <w:ind w:left="0"/>
        <w:jc w:val="center"/>
        <w:rPr>
          <w:sz w:val="21"/>
          <w:szCs w:val="21"/>
        </w:rPr>
      </w:pPr>
      <w:r>
        <w:rPr>
          <w:rFonts w:ascii="Times New Roman" w:hAnsi="Times New Roman" w:cs="Bookman Old Style"/>
          <w:sz w:val="21"/>
          <w:szCs w:val="21"/>
        </w:rPr>
        <w:t>II. Pompy żywieniowe</w:t>
      </w:r>
    </w:p>
    <w:p w:rsidR="00110748" w:rsidRDefault="00110748">
      <w:pPr>
        <w:pStyle w:val="Akapitzlist"/>
        <w:rPr>
          <w:rFonts w:ascii="Times New Roman" w:hAnsi="Times New Roman"/>
          <w:b/>
          <w:bCs/>
          <w:sz w:val="21"/>
          <w:szCs w:val="21"/>
        </w:rPr>
      </w:pPr>
    </w:p>
    <w:p w:rsidR="00110748" w:rsidRDefault="005673C4">
      <w:pPr>
        <w:ind w:left="720"/>
        <w:rPr>
          <w:b/>
          <w:bCs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I.  Zestaw pomp </w:t>
      </w:r>
      <w:proofErr w:type="spellStart"/>
      <w:r>
        <w:rPr>
          <w:rFonts w:ascii="Times New Roman" w:hAnsi="Times New Roman"/>
          <w:b/>
          <w:bCs/>
          <w:sz w:val="21"/>
          <w:szCs w:val="21"/>
        </w:rPr>
        <w:t>strzykawkowych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 do OINK – 19 szt</w:t>
      </w:r>
      <w:r w:rsidR="000407ED">
        <w:rPr>
          <w:rFonts w:ascii="Times New Roman" w:hAnsi="Times New Roman"/>
          <w:b/>
          <w:bCs/>
          <w:sz w:val="21"/>
          <w:szCs w:val="21"/>
        </w:rPr>
        <w:t>.</w:t>
      </w:r>
    </w:p>
    <w:tbl>
      <w:tblPr>
        <w:tblW w:w="9213" w:type="dxa"/>
        <w:tblInd w:w="-1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1094"/>
        <w:gridCol w:w="4110"/>
        <w:gridCol w:w="4009"/>
      </w:tblGrid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Opis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Wytwórca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Nazwa – </w:t>
            </w:r>
            <w:r>
              <w:rPr>
                <w:rFonts w:ascii="Times New Roman" w:hAnsi="Times New Roman"/>
                <w:sz w:val="21"/>
                <w:szCs w:val="21"/>
              </w:rPr>
              <w:t>model/typ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ind w:left="36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Kraj pochodzenia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Rok produkcji 2017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10748" w:rsidRDefault="005673C4">
      <w:pPr>
        <w:pStyle w:val="Akapitzlist"/>
        <w:ind w:left="108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*należy wypełnić</w:t>
      </w:r>
    </w:p>
    <w:p w:rsidR="00110748" w:rsidRDefault="005673C4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1"/>
          <w:szCs w:val="21"/>
        </w:rPr>
        <w:t>Część A: ZESTAWIENIE GRANICZNYCH PARAMETRÓW TECHNICZNO-UŻYTKOWYCH</w:t>
      </w:r>
    </w:p>
    <w:tbl>
      <w:tblPr>
        <w:tblW w:w="9211" w:type="dxa"/>
        <w:tblInd w:w="-1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1094"/>
        <w:gridCol w:w="5805"/>
        <w:gridCol w:w="2312"/>
      </w:tblGrid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Parametry wymagane</w:t>
            </w:r>
          </w:p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Parametry oferowane*</w:t>
            </w:r>
          </w:p>
        </w:tc>
      </w:tr>
      <w:tr w:rsidR="00110748">
        <w:trPr>
          <w:cantSplit/>
          <w:trHeight w:val="70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Wymagania ogólne: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Pompa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strzykawkowa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do podawania dożylnego sterowana elektronicznie umożliwiająca współpracę z systemem centralnego zasilania i zarządzania danymi  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Zasilanie AC 230 V 50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Hz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i z wbudowanego akumulatora lub 12VDC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Ochrona przed wilgocią wg EN 606529: </w:t>
            </w:r>
            <w:r>
              <w:rPr>
                <w:rFonts w:ascii="Times New Roman" w:hAnsi="Times New Roman"/>
                <w:sz w:val="21"/>
                <w:szCs w:val="21"/>
              </w:rPr>
              <w:t>przynajmniej IP X2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Samodzielna praca bez zasilania sieciowego min. 10 godzin przy przepływie 5 ml /godz.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Masa pompy do 3,0 kg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Automatyczne rozpoznawanie strzykawki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Automatyczne chwytanie tłoka strzykawki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Możliwość mocowania pompy do rury </w:t>
            </w:r>
            <w:r>
              <w:rPr>
                <w:rFonts w:ascii="Times New Roman" w:hAnsi="Times New Roman"/>
                <w:sz w:val="21"/>
                <w:szCs w:val="21"/>
              </w:rPr>
              <w:t>pionowej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Możliwość zatrzaskowego mocowania i współpracy ze stacja dokująca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Automatyczna funkcja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antybolus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po okluzji – zabezpieczenie przed podaniem niekontrolowanego bolusa po alarmie okluzji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Pompa skalibrowana do pracy ze strzykawkami o </w:t>
            </w:r>
            <w:r>
              <w:rPr>
                <w:rFonts w:ascii="Times New Roman" w:hAnsi="Times New Roman"/>
                <w:sz w:val="21"/>
                <w:szCs w:val="21"/>
              </w:rPr>
              <w:t>objętości 5, 10, 20 i 50/60 ml różnych typów oraz różnych producentów (minimum 3 producentów strzykawek dostępnych na rynku polskim)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Pomiar i wizualizacja ciśnienia w linii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Parametry infuzji: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Zakres szybkości dozowania min. 0,1 do 1200 ml/godz.  </w:t>
            </w:r>
            <w:r>
              <w:rPr>
                <w:rFonts w:ascii="Times New Roman" w:hAnsi="Times New Roman"/>
                <w:sz w:val="21"/>
                <w:szCs w:val="21"/>
              </w:rPr>
              <w:t>dla strzykawek do 50/60 ml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Zmiana szybkości infuzji bez konieczności przerywania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wlewu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Bolus podawany na żądanie w dowolnym momencie infuzji z wybraną szybkością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Zakres szybkości podaży bolusa przynajmniej 1 – 1200 ml/h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Dokładność szybkości </w:t>
            </w:r>
            <w:r>
              <w:rPr>
                <w:rFonts w:ascii="Times New Roman" w:hAnsi="Times New Roman"/>
                <w:sz w:val="21"/>
                <w:szCs w:val="21"/>
              </w:rPr>
              <w:t>infuzji ze strzykawka +/- 3 %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Funkcja programowania objętości do podania (VTBD) przynajmniej 0,1 – 999 ml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Możliwość programowania czasu infuzji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Możliwość programowania parametrów infuzji w jednostkach masy np. mg, µg lub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mmol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z uwzględnieniem lub </w:t>
            </w:r>
            <w:r>
              <w:rPr>
                <w:rFonts w:ascii="Times New Roman" w:hAnsi="Times New Roman"/>
                <w:sz w:val="21"/>
                <w:szCs w:val="21"/>
              </w:rPr>
              <w:t>nie masy w odniesieniu do czasu (np. mg/kg/min., mg/kg/h; mg/kg/24h)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Możliwość programowania z użyciem wbudowanej biblioteki leków powiązanej z dawkowaniem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Możliwość przeglądu historii pracy pompy 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Ustawienie granicy alarmowej przekroczenia </w:t>
            </w:r>
            <w:r>
              <w:rPr>
                <w:rFonts w:ascii="Times New Roman" w:hAnsi="Times New Roman"/>
                <w:sz w:val="21"/>
                <w:szCs w:val="21"/>
              </w:rPr>
              <w:t>ciśnienia w linii, przynajmniej 9 poziomów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Funkcja KVO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Ustawienie szybkości KVO z możliwością jej wyłączenia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Funkcja – przerwa (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standby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 we zakresie przynajmniej od 1 min. do 12 godz.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Wskaźnik pracy pompy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Alarmy i ostrzeżenia: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Akustyczno-optyczny system alarmów i ostrzeżeń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Alarm pustej strzykawki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Alarm przypominający o zatrzymaniu infuzji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Alarm okluzji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Alarm rozłączenia linii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Alarm rozładowanego akumulatora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Alarm wstępny zbliżającego się rozładowania </w:t>
            </w:r>
            <w:r>
              <w:rPr>
                <w:rFonts w:ascii="Times New Roman" w:hAnsi="Times New Roman"/>
                <w:sz w:val="21"/>
                <w:szCs w:val="21"/>
              </w:rPr>
              <w:t>akumulatora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Alarm braku lub źle założonej strzykawki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Alarm otwartego uchwytu mocowania strzykawki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Alarm informujący o uszkodzeniu sprzętu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Alarm wstępny przed opróżnieniem strzykawki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Alarm wstępny przed końcem infuzji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Pozostałe: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Możliwość transmisji danych z pompy, możliwość połączenia z siecią przesyłania danych samodzielnie lub przez stację dokującą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Możliwość łączenia pomp w zestawy zasilane jednym przewodem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Możliwość łączenia pomp w zestawy z pompami objętościowymi, </w:t>
            </w:r>
            <w:r>
              <w:rPr>
                <w:rFonts w:ascii="Times New Roman" w:hAnsi="Times New Roman"/>
                <w:sz w:val="21"/>
                <w:szCs w:val="21"/>
              </w:rPr>
              <w:t>zasilane jednym przewodem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Stacja dokująca dla minimum 6 pomp, sztuk 3. Stacja dokująca na minimum 4 pompy, sztuk 5.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Stacja dokująca do pomp umożliwiająca centralnie, sterowanie pompami, zasilanie zarządzanie danymi, oraz transmisję danych do sieci </w:t>
            </w:r>
            <w:r>
              <w:rPr>
                <w:rFonts w:ascii="Times New Roman" w:hAnsi="Times New Roman"/>
                <w:sz w:val="21"/>
                <w:szCs w:val="21"/>
              </w:rPr>
              <w:t>informatycznej do systemów automatycznego zbierania danych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Klasa ochronności zgodnie z IEC/EN60601-1-1: klasa II, typ CF 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Ochrona przed wilgocią wg EN 6060529: przynajmniej IP 22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Możliwość mocowania zestawu do rury pionowej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Możliwość zależnego </w:t>
            </w:r>
            <w:r>
              <w:rPr>
                <w:rFonts w:ascii="Times New Roman" w:hAnsi="Times New Roman"/>
                <w:sz w:val="21"/>
                <w:szCs w:val="21"/>
              </w:rPr>
              <w:t>za programowanie dwóch pomp: po zakończeniu infuzji w jednej pompie – druga automatycznie podejmuje pracę z takimi samymi nastawami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Menu i komunikacja ekranowe w języku polskim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Wpisywanie danych pacjenta do celów kalkulacji i archiwizacji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Wyświetlanie informacji zbiorczej o infuzji  ze wszystkich pomp podłączonych do stacji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Wyświetlanie szczegółowej informacji o infuzji z wybranej pompy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Tworzenie bilansu z płynów podłączonych pomp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10748" w:rsidRDefault="005673C4">
      <w:pPr>
        <w:pStyle w:val="Akapitzlist"/>
        <w:ind w:left="1080"/>
        <w:jc w:val="both"/>
        <w:rPr>
          <w:rFonts w:ascii="Times New Roman" w:hAnsi="Times New Roman"/>
          <w:sz w:val="21"/>
          <w:szCs w:val="21"/>
        </w:rPr>
      </w:pPr>
      <w:bookmarkStart w:id="0" w:name="__DdeLink__10365_1465127502"/>
      <w:bookmarkEnd w:id="0"/>
      <w:r>
        <w:rPr>
          <w:rFonts w:ascii="Times New Roman" w:hAnsi="Times New Roman"/>
          <w:sz w:val="21"/>
          <w:szCs w:val="21"/>
        </w:rPr>
        <w:t>*należy wypełnić</w:t>
      </w:r>
    </w:p>
    <w:p w:rsidR="00110748" w:rsidRDefault="005673C4">
      <w:pPr>
        <w:pStyle w:val="Akapitzlist"/>
        <w:spacing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Times New Roman" w:hAnsi="Times New Roman" w:cs="Bookman Old Style"/>
          <w:b/>
          <w:bCs/>
          <w:sz w:val="21"/>
          <w:szCs w:val="21"/>
        </w:rPr>
        <w:lastRenderedPageBreak/>
        <w:t>II. Pompy żywieniowe – 3 szt</w:t>
      </w:r>
      <w:r w:rsidR="000407ED">
        <w:rPr>
          <w:rFonts w:ascii="Times New Roman" w:hAnsi="Times New Roman" w:cs="Bookman Old Style"/>
          <w:b/>
          <w:bCs/>
          <w:sz w:val="21"/>
          <w:szCs w:val="21"/>
        </w:rPr>
        <w:t>.</w:t>
      </w:r>
    </w:p>
    <w:tbl>
      <w:tblPr>
        <w:tblW w:w="9214" w:type="dxa"/>
        <w:tblInd w:w="-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099"/>
        <w:gridCol w:w="4110"/>
        <w:gridCol w:w="4005"/>
      </w:tblGrid>
      <w:tr w:rsidR="00110748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 w:rsidP="000407ED">
            <w:pPr>
              <w:spacing w:after="0" w:line="360" w:lineRule="auto"/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 w:rsidP="000407ED">
            <w:pPr>
              <w:spacing w:after="0" w:line="360" w:lineRule="auto"/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b/>
                <w:bCs/>
                <w:sz w:val="21"/>
                <w:szCs w:val="21"/>
              </w:rPr>
              <w:t>Opis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110748" w:rsidP="000407ED">
            <w:pPr>
              <w:spacing w:after="0" w:line="360" w:lineRule="auto"/>
              <w:jc w:val="center"/>
              <w:rPr>
                <w:rFonts w:ascii="Times New Roman" w:hAnsi="Times New Roman" w:cs="Bookman Old Style"/>
                <w:sz w:val="21"/>
                <w:szCs w:val="21"/>
              </w:rPr>
            </w:pPr>
          </w:p>
        </w:tc>
      </w:tr>
      <w:tr w:rsidR="00110748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 w:rsidP="000407ED">
            <w:pPr>
              <w:spacing w:after="0" w:line="360" w:lineRule="auto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 w:rsidP="000407ED">
            <w:pPr>
              <w:spacing w:after="0" w:line="360" w:lineRule="auto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Wytwórca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110748" w:rsidP="000407E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 w:rsidP="000407ED">
            <w:pPr>
              <w:spacing w:after="0" w:line="360" w:lineRule="auto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 w:rsidP="000407ED">
            <w:pPr>
              <w:spacing w:after="0" w:line="360" w:lineRule="auto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Nazwa – model/typ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110748" w:rsidP="000407E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 w:rsidP="000407ED">
            <w:pPr>
              <w:spacing w:after="0" w:line="360" w:lineRule="auto"/>
              <w:ind w:left="36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 w:rsidP="000407ED">
            <w:pPr>
              <w:spacing w:after="0" w:line="360" w:lineRule="auto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Kraj pochodzenia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110748" w:rsidP="000407E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 w:rsidP="000407ED">
            <w:pPr>
              <w:spacing w:after="0" w:line="360" w:lineRule="auto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 w:rsidP="000407ED">
            <w:pPr>
              <w:spacing w:after="0" w:line="360" w:lineRule="auto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Rok produkcji 2017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110748" w:rsidP="000407E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10748" w:rsidRDefault="005673C4">
      <w:pPr>
        <w:pStyle w:val="Akapitzlist"/>
        <w:spacing w:line="360" w:lineRule="auto"/>
        <w:ind w:left="1080"/>
        <w:jc w:val="both"/>
        <w:rPr>
          <w:rFonts w:ascii="Times New Roman" w:hAnsi="Times New Roman" w:cs="Bookman Old Style"/>
          <w:sz w:val="21"/>
          <w:szCs w:val="21"/>
        </w:rPr>
      </w:pPr>
      <w:r>
        <w:rPr>
          <w:rFonts w:ascii="Times New Roman" w:hAnsi="Times New Roman" w:cs="Bookman Old Style"/>
          <w:sz w:val="21"/>
          <w:szCs w:val="21"/>
        </w:rPr>
        <w:t>*należy wypełnić</w:t>
      </w:r>
    </w:p>
    <w:p w:rsidR="00110748" w:rsidRDefault="000407ED">
      <w:pPr>
        <w:spacing w:line="360" w:lineRule="auto"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Times New Roman" w:hAnsi="Times New Roman" w:cs="Bookman Old Style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Część A:</w:t>
      </w:r>
      <w:r w:rsidR="005673C4">
        <w:rPr>
          <w:rFonts w:ascii="Times New Roman" w:hAnsi="Times New Roman" w:cs="Bookman Old Style"/>
          <w:b/>
          <w:bCs/>
          <w:sz w:val="21"/>
          <w:szCs w:val="21"/>
        </w:rPr>
        <w:t>. ZESTAWIENIE GRANICZNYCH PARAMETRÓW TECHNICZNO-UŻYTKOWYCH</w:t>
      </w:r>
    </w:p>
    <w:tbl>
      <w:tblPr>
        <w:tblW w:w="9208" w:type="dxa"/>
        <w:tblInd w:w="-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963"/>
        <w:gridCol w:w="5838"/>
        <w:gridCol w:w="2407"/>
      </w:tblGrid>
      <w:tr w:rsidR="00110748"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line="360" w:lineRule="auto"/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Bookman Old Style"/>
                <w:b/>
                <w:bCs/>
                <w:sz w:val="21"/>
                <w:szCs w:val="21"/>
              </w:rPr>
              <w:t>Parametry wymagane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Parametry oferowane*</w:t>
            </w:r>
          </w:p>
        </w:tc>
      </w:tr>
      <w:tr w:rsidR="00110748"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143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1.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143" w:line="240" w:lineRule="auto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Zasilanie sieciowe 100-230 V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110748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143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2.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143" w:line="240" w:lineRule="auto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Zasilanie akumulatorowe 4,8 V</w:t>
            </w:r>
          </w:p>
          <w:p w:rsidR="00110748" w:rsidRDefault="005673C4">
            <w:pPr>
              <w:spacing w:after="143" w:line="240" w:lineRule="auto"/>
              <w:jc w:val="both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i/>
                <w:iCs/>
                <w:sz w:val="21"/>
                <w:szCs w:val="21"/>
              </w:rPr>
              <w:t>Dopuszczono niższe napięcie zasilania np. 2,5 V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110748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143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3.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143" w:line="240" w:lineRule="auto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Tryb pracy pompy zasilanej z akumulatora przy średniej prędkości podawania 125 ml/h – min. 24 h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110748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143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4.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143" w:line="240" w:lineRule="auto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Masa pompy – maksymalnie 500 g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110748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143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5.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143" w:line="240" w:lineRule="auto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Prędkość podawania diet 1-600 ml</w:t>
            </w:r>
          </w:p>
          <w:p w:rsidR="00110748" w:rsidRDefault="005673C4">
            <w:pPr>
              <w:spacing w:after="143" w:line="240" w:lineRule="auto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Dopuszczono prędkość 1 - 400 ml/godz.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110748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143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 xml:space="preserve">      6.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143" w:line="240" w:lineRule="auto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Możliwość sterowania szybkością przepływu pokarmu o dużej lepkości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110748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143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 xml:space="preserve">      7.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143" w:line="240" w:lineRule="auto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>Możliwość podawania diet z pojemników o dużej objętości – do 1500 ml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110748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143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 xml:space="preserve">      8.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5673C4">
            <w:pPr>
              <w:spacing w:after="143" w:line="240" w:lineRule="auto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Times New Roman" w:hAnsi="Times New Roman" w:cs="Bookman Old Style"/>
                <w:sz w:val="21"/>
                <w:szCs w:val="21"/>
              </w:rPr>
              <w:t xml:space="preserve">Zapewnienie przez Wykonawcę przeszkolenia </w:t>
            </w:r>
            <w:r>
              <w:rPr>
                <w:rFonts w:ascii="Times New Roman" w:hAnsi="Times New Roman" w:cs="Bookman Old Style"/>
                <w:sz w:val="21"/>
                <w:szCs w:val="21"/>
              </w:rPr>
              <w:t>pracowników z zakresu obsługi pompy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110748" w:rsidRDefault="00110748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10748" w:rsidRDefault="005673C4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*należy wypełnić</w:t>
      </w:r>
    </w:p>
    <w:p w:rsidR="00110748" w:rsidRDefault="005673C4">
      <w:pPr>
        <w:jc w:val="both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Wykonawca oświadcza, że oferowany powyżej wyspecjalizowany sprzęt medyczny i wszystkie jego podzespoły są fabrycznie nowe, nie używane, nie były przedmiotem wystaw i prezentacji, a po dostarczeniu i </w:t>
      </w:r>
      <w:r>
        <w:rPr>
          <w:rFonts w:ascii="Times New Roman" w:hAnsi="Times New Roman"/>
          <w:sz w:val="21"/>
          <w:szCs w:val="21"/>
        </w:rPr>
        <w:t>zamontowaniu przez Wykonawcę będą gotowe do pracy zgodnie z przeznaczeniem bez dodatkowych zakupów i dostaw.</w:t>
      </w:r>
    </w:p>
    <w:p w:rsidR="00110748" w:rsidRDefault="005673C4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Wykonawca zobowiązany jest do podania parametrów w jednostkach wskazanych w niniejszych tabelkach.</w:t>
      </w:r>
    </w:p>
    <w:p w:rsidR="00110748" w:rsidRDefault="005673C4">
      <w:pPr>
        <w:shd w:val="clear" w:color="auto" w:fill="FFFFFF"/>
        <w:spacing w:after="0" w:line="240" w:lineRule="auto"/>
        <w:jc w:val="both"/>
        <w:rPr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Zaoferowane powyżej parametry wymagane muszą być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potwierdzone w dołączonych do ofert materiałach informacyjnych producenta </w:t>
      </w:r>
      <w:r>
        <w:rPr>
          <w:rFonts w:ascii="Times New Roman" w:hAnsi="Times New Roman"/>
          <w:b/>
          <w:bCs/>
          <w:i/>
          <w:iCs/>
          <w:color w:val="000000"/>
          <w:sz w:val="21"/>
          <w:szCs w:val="21"/>
        </w:rPr>
        <w:t>lub autoryzowanego dystrybutora oferowanego urządzenia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.</w:t>
      </w:r>
    </w:p>
    <w:p w:rsidR="00110748" w:rsidRDefault="005673C4">
      <w:pPr>
        <w:shd w:val="clear" w:color="auto" w:fill="FFFFFF"/>
        <w:spacing w:after="0" w:line="240" w:lineRule="auto"/>
        <w:jc w:val="both"/>
        <w:rPr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Brak potwierdzenie któregokolwiek z parametru spowoduje odrzucenie oferty.</w:t>
      </w:r>
    </w:p>
    <w:p w:rsidR="00110748" w:rsidRDefault="005673C4">
      <w:pPr>
        <w:shd w:val="clear" w:color="auto" w:fill="FFFFFF"/>
        <w:spacing w:after="0" w:line="240" w:lineRule="auto"/>
        <w:jc w:val="both"/>
        <w:rPr>
          <w:b/>
          <w:bCs/>
          <w:color w:val="000000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W   przypadku   pojedynczych   parametrów,   nie  </w:t>
      </w:r>
      <w:r>
        <w:rPr>
          <w:rFonts w:ascii="Times New Roman" w:hAnsi="Times New Roman"/>
          <w:color w:val="000000"/>
          <w:sz w:val="21"/>
          <w:szCs w:val="21"/>
        </w:rPr>
        <w:t xml:space="preserve"> występujących   w   materiałach   firmowych,   Zamawiający   dopuszcza   oświadczenie   producenta </w:t>
      </w:r>
      <w:r>
        <w:rPr>
          <w:rFonts w:ascii="Times New Roman" w:hAnsi="Times New Roman"/>
          <w:b/>
          <w:bCs/>
          <w:i/>
          <w:iCs/>
          <w:color w:val="000000"/>
          <w:sz w:val="21"/>
          <w:szCs w:val="21"/>
        </w:rPr>
        <w:t>lub autoryzowanego dystrybutora oferowanego urządzenia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.</w:t>
      </w:r>
    </w:p>
    <w:p w:rsidR="00110748" w:rsidRDefault="001107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110748" w:rsidRDefault="005673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Zamawiający zastrzega sobie prawo weryfikacji deklarowanych parametrów z użyciem wszelkich </w:t>
      </w:r>
      <w:r>
        <w:rPr>
          <w:rFonts w:ascii="Times New Roman" w:hAnsi="Times New Roman"/>
          <w:color w:val="000000"/>
          <w:sz w:val="21"/>
          <w:szCs w:val="21"/>
        </w:rPr>
        <w:t>dostępnych źródeł, w tym zapytanie bezpośrednio u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producenta sprzętu.</w:t>
      </w:r>
    </w:p>
    <w:p w:rsidR="00110748" w:rsidRDefault="005673C4">
      <w:pPr>
        <w:pStyle w:val="Akapitzlist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lastRenderedPageBreak/>
        <w:t>Część B: FORMULARZ CENOWY</w:t>
      </w:r>
    </w:p>
    <w:p w:rsidR="00110748" w:rsidRDefault="00110748">
      <w:pPr>
        <w:pStyle w:val="Akapitzlist"/>
        <w:jc w:val="center"/>
        <w:rPr>
          <w:b/>
          <w:bCs/>
        </w:rPr>
      </w:pPr>
    </w:p>
    <w:tbl>
      <w:tblPr>
        <w:tblW w:w="9319" w:type="dxa"/>
        <w:tblInd w:w="-1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697"/>
        <w:gridCol w:w="2897"/>
        <w:gridCol w:w="1065"/>
        <w:gridCol w:w="888"/>
        <w:gridCol w:w="913"/>
        <w:gridCol w:w="962"/>
        <w:gridCol w:w="1191"/>
        <w:gridCol w:w="706"/>
      </w:tblGrid>
      <w:tr w:rsidR="00110748">
        <w:trPr>
          <w:cantSplit/>
        </w:trPr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Nazwa sprzętu</w:t>
            </w:r>
          </w:p>
        </w:tc>
        <w:tc>
          <w:tcPr>
            <w:tcW w:w="1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Ilość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Cena jednostkowa</w:t>
            </w:r>
          </w:p>
        </w:tc>
        <w:tc>
          <w:tcPr>
            <w:tcW w:w="2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VAT</w:t>
            </w:r>
          </w:p>
        </w:tc>
      </w:tr>
      <w:tr w:rsidR="00110748">
        <w:trPr>
          <w:cantSplit/>
        </w:trPr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netto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brutto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netto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brutto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 w:rsidP="000407ED">
            <w:pPr>
              <w:pStyle w:val="Akapitzlist"/>
              <w:spacing w:before="240"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 w:rsidP="000407ED">
            <w:pPr>
              <w:pStyle w:val="Akapitzlist"/>
              <w:spacing w:before="240" w:after="0" w:line="240" w:lineRule="auto"/>
              <w:ind w:left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Zestaw pomp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strzykawkowych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do OINK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 w:rsidP="000407ED">
            <w:pPr>
              <w:pStyle w:val="Akapitzlist"/>
              <w:spacing w:before="240"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 szt</w:t>
            </w:r>
            <w:r w:rsidR="000407ED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 w:rsidP="000407ED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 w:rsidP="000407ED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 w:rsidP="000407ED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 w:rsidP="000407ED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 w:rsidP="000407ED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 w:rsidP="000407ED">
            <w:pPr>
              <w:pStyle w:val="Akapitzlist"/>
              <w:spacing w:before="240" w:after="113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II. 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 w:rsidP="000407ED">
            <w:pPr>
              <w:pStyle w:val="Akapitzlist"/>
              <w:spacing w:before="240" w:after="113" w:line="240" w:lineRule="auto"/>
              <w:ind w:left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Pompy żywieniowe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 w:rsidP="000407ED">
            <w:pPr>
              <w:pStyle w:val="Akapitzlist"/>
              <w:spacing w:before="240" w:after="113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 szt</w:t>
            </w:r>
            <w:r w:rsidR="000407ED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 w:rsidP="000407ED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 w:rsidP="000407ED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 w:rsidP="000407ED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 w:rsidP="000407ED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 w:rsidP="000407ED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0748">
        <w:trPr>
          <w:cantSplit/>
        </w:trPr>
        <w:tc>
          <w:tcPr>
            <w:tcW w:w="64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5673C4" w:rsidP="000407ED">
            <w:pPr>
              <w:pStyle w:val="Akapitzlist"/>
              <w:spacing w:before="240" w:line="240" w:lineRule="auto"/>
              <w:ind w:left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 w:rsidP="000407ED">
            <w:pPr>
              <w:pStyle w:val="Akapitzlist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 w:rsidP="000407ED">
            <w:pPr>
              <w:pStyle w:val="Akapitzlist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110748" w:rsidRDefault="00110748" w:rsidP="000407ED">
            <w:pPr>
              <w:pStyle w:val="Akapitzlist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10748" w:rsidRDefault="00110748">
      <w:pPr>
        <w:tabs>
          <w:tab w:val="left" w:pos="1985"/>
          <w:tab w:val="left" w:pos="4820"/>
          <w:tab w:val="left" w:pos="5387"/>
          <w:tab w:val="left" w:pos="8931"/>
        </w:tabs>
        <w:spacing w:before="390" w:after="0" w:line="480" w:lineRule="auto"/>
        <w:rPr>
          <w:rFonts w:ascii="Times New Roman" w:hAnsi="Times New Roman" w:cs="Bookman Old Style"/>
          <w:sz w:val="21"/>
          <w:szCs w:val="21"/>
          <w:u w:val="dotted"/>
        </w:rPr>
      </w:pPr>
    </w:p>
    <w:p w:rsidR="00110748" w:rsidRDefault="005673C4">
      <w:pPr>
        <w:tabs>
          <w:tab w:val="left" w:pos="1985"/>
          <w:tab w:val="left" w:pos="4820"/>
          <w:tab w:val="left" w:pos="5387"/>
          <w:tab w:val="left" w:pos="8931"/>
        </w:tabs>
        <w:spacing w:before="960" w:line="480" w:lineRule="auto"/>
        <w:rPr>
          <w:sz w:val="21"/>
          <w:szCs w:val="21"/>
        </w:rPr>
      </w:pPr>
      <w:r>
        <w:rPr>
          <w:rFonts w:ascii="Times New Roman" w:hAnsi="Times New Roman" w:cs="Bookman Old Style"/>
          <w:sz w:val="21"/>
          <w:szCs w:val="21"/>
          <w:u w:val="dotted"/>
        </w:rPr>
        <w:tab/>
      </w:r>
      <w:r>
        <w:rPr>
          <w:rFonts w:ascii="Times New Roman" w:hAnsi="Times New Roman" w:cs="Bookman Old Style"/>
          <w:sz w:val="21"/>
          <w:szCs w:val="21"/>
        </w:rPr>
        <w:t xml:space="preserve"> dnia </w:t>
      </w:r>
      <w:bookmarkStart w:id="1" w:name="_GoBack"/>
      <w:bookmarkEnd w:id="1"/>
      <w:r>
        <w:rPr>
          <w:rFonts w:ascii="Times New Roman" w:hAnsi="Times New Roman" w:cs="Bookman Old Style"/>
          <w:sz w:val="21"/>
          <w:szCs w:val="21"/>
          <w:u w:val="dotted"/>
        </w:rPr>
        <w:tab/>
      </w:r>
      <w:r>
        <w:rPr>
          <w:rFonts w:ascii="Times New Roman" w:hAnsi="Times New Roman" w:cs="Bookman Old Style"/>
          <w:sz w:val="21"/>
          <w:szCs w:val="21"/>
        </w:rPr>
        <w:tab/>
      </w:r>
      <w:r>
        <w:rPr>
          <w:rFonts w:ascii="Times New Roman" w:hAnsi="Times New Roman" w:cs="Bookman Old Style"/>
          <w:sz w:val="21"/>
          <w:szCs w:val="21"/>
          <w:u w:val="dotted"/>
        </w:rPr>
        <w:tab/>
      </w:r>
    </w:p>
    <w:p w:rsidR="00110748" w:rsidRDefault="005673C4">
      <w:pPr>
        <w:spacing w:after="0" w:line="240" w:lineRule="auto"/>
        <w:jc w:val="center"/>
        <w:rPr>
          <w:rFonts w:ascii="Bookman Old Style" w:hAnsi="Bookman Old Style" w:cs="Bookman Old Style"/>
          <w:i/>
          <w:iCs/>
          <w:sz w:val="16"/>
          <w:szCs w:val="16"/>
        </w:rPr>
      </w:pPr>
      <w:r>
        <w:rPr>
          <w:rFonts w:ascii="Times New Roman" w:hAnsi="Times New Roman" w:cs="Bookman Old Style"/>
          <w:i/>
          <w:iCs/>
          <w:sz w:val="21"/>
          <w:szCs w:val="21"/>
        </w:rPr>
        <w:t xml:space="preserve">                                                                                              /podpis i pieczątka upoważnionego</w:t>
      </w:r>
    </w:p>
    <w:p w:rsidR="00110748" w:rsidRDefault="005673C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Bookman Old Style"/>
          <w:i/>
          <w:iCs/>
          <w:sz w:val="21"/>
          <w:szCs w:val="21"/>
        </w:rPr>
        <w:t xml:space="preserve">                                                                                                             przedstawiciela</w:t>
      </w:r>
      <w:r>
        <w:rPr>
          <w:rFonts w:ascii="Times New Roman" w:hAnsi="Times New Roman" w:cs="Bookman Old Style"/>
          <w:sz w:val="21"/>
          <w:szCs w:val="21"/>
        </w:rPr>
        <w:t xml:space="preserve"> /</w:t>
      </w:r>
    </w:p>
    <w:sectPr w:rsidR="001107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C4" w:rsidRDefault="005673C4">
      <w:pPr>
        <w:spacing w:after="0" w:line="240" w:lineRule="auto"/>
      </w:pPr>
      <w:r>
        <w:separator/>
      </w:r>
    </w:p>
  </w:endnote>
  <w:endnote w:type="continuationSeparator" w:id="0">
    <w:p w:rsidR="005673C4" w:rsidRDefault="0056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48" w:rsidRDefault="00110748">
    <w:pPr>
      <w:spacing w:after="0" w:line="240" w:lineRule="auto"/>
      <w:ind w:left="4956" w:right="360" w:firstLine="709"/>
    </w:pPr>
  </w:p>
  <w:p w:rsidR="00110748" w:rsidRDefault="005673C4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 w:rsidR="000407ED">
      <w:rPr>
        <w:noProof/>
      </w:rPr>
      <w:t>4</w:t>
    </w:r>
    <w:r>
      <w:fldChar w:fldCharType="end"/>
    </w:r>
  </w:p>
  <w:p w:rsidR="00110748" w:rsidRDefault="00110748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C4" w:rsidRDefault="005673C4">
      <w:pPr>
        <w:spacing w:after="0" w:line="240" w:lineRule="auto"/>
      </w:pPr>
      <w:r>
        <w:separator/>
      </w:r>
    </w:p>
  </w:footnote>
  <w:footnote w:type="continuationSeparator" w:id="0">
    <w:p w:rsidR="005673C4" w:rsidRDefault="0056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48" w:rsidRDefault="00110748">
    <w:pPr>
      <w:pStyle w:val="Nagwek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3240"/>
    <w:multiLevelType w:val="multilevel"/>
    <w:tmpl w:val="01A8E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A5EDB"/>
    <w:multiLevelType w:val="multilevel"/>
    <w:tmpl w:val="8BD87D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748"/>
    <w:rsid w:val="000407ED"/>
    <w:rsid w:val="00110748"/>
    <w:rsid w:val="0056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66D"/>
    <w:pPr>
      <w:suppressAutoHyphens/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locked/>
    <w:rsid w:val="00CD766D"/>
  </w:style>
  <w:style w:type="character" w:customStyle="1" w:styleId="NagwekZnak">
    <w:name w:val="Nagłówek Znak"/>
    <w:basedOn w:val="Domylnaczcionkaakapitu"/>
    <w:link w:val="Nagwek1"/>
    <w:uiPriority w:val="99"/>
    <w:qFormat/>
    <w:locked/>
    <w:rsid w:val="00CD766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CD766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72674"/>
    <w:rPr>
      <w:rFonts w:eastAsia="Times New Roman"/>
    </w:rPr>
  </w:style>
  <w:style w:type="paragraph" w:customStyle="1" w:styleId="Nagwek1">
    <w:name w:val="Nagłówek1"/>
    <w:basedOn w:val="Normalny"/>
    <w:next w:val="Tekstpodstawowy1"/>
    <w:link w:val="NagwekZnak"/>
    <w:qFormat/>
    <w:rsid w:val="00B726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rsid w:val="00B72674"/>
    <w:pPr>
      <w:spacing w:after="140" w:line="288" w:lineRule="auto"/>
    </w:pPr>
  </w:style>
  <w:style w:type="paragraph" w:customStyle="1" w:styleId="Lista1">
    <w:name w:val="Lista1"/>
    <w:basedOn w:val="Tekstpodstawowy1"/>
    <w:rsid w:val="00B72674"/>
    <w:rPr>
      <w:rFonts w:cs="Mangal"/>
    </w:rPr>
  </w:style>
  <w:style w:type="paragraph" w:customStyle="1" w:styleId="Legenda1">
    <w:name w:val="Legenda1"/>
    <w:basedOn w:val="Normalny"/>
    <w:qFormat/>
    <w:rsid w:val="00B726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2674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CD766D"/>
    <w:pPr>
      <w:ind w:left="720"/>
    </w:pPr>
  </w:style>
  <w:style w:type="paragraph" w:customStyle="1" w:styleId="Stopka1">
    <w:name w:val="Stopka1"/>
    <w:basedOn w:val="Normalny"/>
    <w:link w:val="StopkaZnak"/>
    <w:uiPriority w:val="99"/>
    <w:rsid w:val="00CD766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2">
    <w:name w:val="Nagłówek2"/>
    <w:basedOn w:val="Normalny"/>
    <w:uiPriority w:val="99"/>
    <w:rsid w:val="00CD766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CD76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B72674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99"/>
    <w:rsid w:val="00CD766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936</Words>
  <Characters>5621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ekalita</cp:lastModifiedBy>
  <cp:revision>8</cp:revision>
  <cp:lastPrinted>2015-09-22T20:33:00Z</cp:lastPrinted>
  <dcterms:created xsi:type="dcterms:W3CDTF">2015-09-22T20:48:00Z</dcterms:created>
  <dcterms:modified xsi:type="dcterms:W3CDTF">2017-06-21T09:40:00Z</dcterms:modified>
  <dc:language>pl-PL</dc:language>
</cp:coreProperties>
</file>