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0" w:rsidRPr="00256F77" w:rsidRDefault="00605530" w:rsidP="00256F77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>Załącznik nr 1.</w:t>
      </w:r>
      <w:r w:rsidR="00760D0C" w:rsidRPr="00256F77">
        <w:rPr>
          <w:rFonts w:ascii="Century Gothic" w:hAnsi="Century Gothic"/>
          <w:b/>
          <w:sz w:val="18"/>
          <w:szCs w:val="18"/>
        </w:rPr>
        <w:t>5</w:t>
      </w:r>
      <w:r w:rsidRPr="00256F77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Pr="00256F77">
        <w:rPr>
          <w:rFonts w:ascii="Century Gothic" w:hAnsi="Century Gothic"/>
          <w:b/>
          <w:sz w:val="18"/>
          <w:szCs w:val="18"/>
        </w:rPr>
        <w:t>siwz</w:t>
      </w:r>
      <w:proofErr w:type="spellEnd"/>
      <w:r w:rsidRPr="00256F77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605530" w:rsidRPr="00256F77" w:rsidRDefault="00605530" w:rsidP="00256F77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>Oznaczenie postępowania: DA</w:t>
      </w:r>
      <w:r w:rsidR="00760D0C" w:rsidRPr="00256F77">
        <w:rPr>
          <w:rFonts w:ascii="Century Gothic" w:hAnsi="Century Gothic"/>
          <w:b/>
          <w:sz w:val="18"/>
          <w:szCs w:val="18"/>
        </w:rPr>
        <w:t>.</w:t>
      </w:r>
      <w:r w:rsidRPr="00256F77">
        <w:rPr>
          <w:rFonts w:ascii="Century Gothic" w:hAnsi="Century Gothic"/>
          <w:b/>
          <w:sz w:val="18"/>
          <w:szCs w:val="18"/>
        </w:rPr>
        <w:t>ZP</w:t>
      </w:r>
      <w:r w:rsidR="00760D0C" w:rsidRPr="00256F77">
        <w:rPr>
          <w:rFonts w:ascii="Century Gothic" w:hAnsi="Century Gothic"/>
          <w:b/>
          <w:sz w:val="18"/>
          <w:szCs w:val="18"/>
        </w:rPr>
        <w:t>.242.82.2017</w:t>
      </w:r>
    </w:p>
    <w:p w:rsidR="00605530" w:rsidRPr="00256F77" w:rsidRDefault="00605530" w:rsidP="00256F77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605530" w:rsidRPr="00256F77" w:rsidRDefault="00605530" w:rsidP="00256F77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>Pakiet nr 5</w:t>
      </w:r>
    </w:p>
    <w:p w:rsidR="00605530" w:rsidRPr="00256F77" w:rsidRDefault="00605530" w:rsidP="00256F77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605530" w:rsidRPr="00256F77" w:rsidRDefault="00605530" w:rsidP="00256F77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proofErr w:type="spellStart"/>
      <w:r w:rsidRPr="00256F77">
        <w:rPr>
          <w:rFonts w:ascii="Century Gothic" w:hAnsi="Century Gothic"/>
          <w:b/>
          <w:sz w:val="18"/>
          <w:szCs w:val="18"/>
        </w:rPr>
        <w:t>Pu</w:t>
      </w:r>
      <w:r w:rsidR="001540AD" w:rsidRPr="00256F77">
        <w:rPr>
          <w:rFonts w:ascii="Century Gothic" w:hAnsi="Century Gothic"/>
          <w:b/>
          <w:sz w:val="18"/>
          <w:szCs w:val="18"/>
        </w:rPr>
        <w:t>lsokymetr</w:t>
      </w:r>
      <w:proofErr w:type="spellEnd"/>
      <w:r w:rsidR="001540AD" w:rsidRPr="00256F77">
        <w:rPr>
          <w:rFonts w:ascii="Century Gothic" w:hAnsi="Century Gothic"/>
          <w:b/>
          <w:sz w:val="18"/>
          <w:szCs w:val="18"/>
        </w:rPr>
        <w:t xml:space="preserve"> przenośny  –  4 sztuki</w:t>
      </w:r>
    </w:p>
    <w:p w:rsidR="00605530" w:rsidRPr="00256F77" w:rsidRDefault="00605530" w:rsidP="00256F77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605530" w:rsidRPr="00256F77" w:rsidTr="004104B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5530" w:rsidRPr="00256F77" w:rsidTr="004104B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5530" w:rsidRPr="00256F77" w:rsidTr="004104B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5530" w:rsidRPr="00256F77" w:rsidTr="004104B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5530" w:rsidRPr="00256F77" w:rsidTr="004104BE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05530" w:rsidRPr="00256F77" w:rsidRDefault="00605530" w:rsidP="00256F77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605530" w:rsidRPr="00256F77" w:rsidRDefault="00605530" w:rsidP="00256F77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256F77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261"/>
        <w:gridCol w:w="3827"/>
      </w:tblGrid>
      <w:tr w:rsidR="00605530" w:rsidRPr="00256F77" w:rsidTr="00605530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605530" w:rsidRPr="00256F77" w:rsidRDefault="00605530" w:rsidP="00256F77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605530" w:rsidRPr="00256F77" w:rsidRDefault="00605530" w:rsidP="00256F7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605530" w:rsidRPr="00256F77" w:rsidRDefault="00605530" w:rsidP="00256F7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605530" w:rsidRPr="00256F77" w:rsidRDefault="00605530" w:rsidP="00256F77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605530" w:rsidRPr="00256F77" w:rsidRDefault="00605530" w:rsidP="00256F77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605530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5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30" w:rsidRPr="00256F77" w:rsidRDefault="00605530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530" w:rsidRPr="00256F77" w:rsidRDefault="00605530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Pulsoksymetr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dla noworodków, dzieci i dorosłych, stacjonarno-transportowy z  automatyczna rotacją ekranu – pion- poziom, w technologii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Masimo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>, z pomiarem NIBP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5530" w:rsidRPr="00256F77" w:rsidRDefault="00605530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Technologia saturacji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Masimo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Masimo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SET – pomiar mimo ruchu i przy niskiej perfuzji dzięki eliminacji sygnału z krwi żylnej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Możliwość rozszerzenia o nieinwazyjne pomiary: hemoglobina całkowita, methemoglobina, karboksyhemoglobina, PVI,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RRa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>,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Aparat prezentuje dane: Spo2, częstość pulsu, wykres krzywej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pletyzmograficznej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>, indeks perfuzji w postaci cyfrowej, komunikaty alarmowe, pomiar ciśnienia,  trendy, czułość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Zasilanie sieciowe 110/220 47-63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Hz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 oraz akumulatorowe z wewnętrznego akumulatora litowego do 7 godzin ciągłego monitorowania, ładowanie baterii 3 godziny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Waga max 1,40 kg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Zintegrowany z obudową uchwyt do przenoszenia urządzenia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Zakres pomiaru saturacji 0-100%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Dokładność pomiaru saturacji w zakresie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70% - 100% +/- 2 cyfry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Zakres pomiaru pulsu 25 -240 uderzeń na minutę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Dokładność pomiaru w całym zakresie +/- 3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EA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Ciągły tryb monitorowania parametrów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EA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Pomiar nieinwazyjny ciśnienia metodą oscylometryczną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EA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Pomiar nieinwazyjny ciśnienia w następujących trybach: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pomiar wyrywkowy w każdym momencie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pomiar automatyczny w interwałach</w:t>
            </w:r>
          </w:p>
          <w:p w:rsid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pomiary ciągłe w określonym czasie co 5 lub 10 minut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EA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Pomiar nieinwazyjny ciśnienia krwi :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Zakres  0 – 300 mmHg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EA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Zakresy pomiaru nieinwazyjnego ciśnienia krwi dla poszczególnych grup pacjentów:</w:t>
            </w:r>
          </w:p>
          <w:p w:rsidR="00256F77" w:rsidRPr="00256F77" w:rsidRDefault="00256F77" w:rsidP="00256F77">
            <w:pPr>
              <w:pStyle w:val="Akapitzlist"/>
              <w:numPr>
                <w:ilvl w:val="0"/>
                <w:numId w:val="2"/>
              </w:numPr>
              <w:autoSpaceDN w:val="0"/>
              <w:spacing w:after="0" w:line="360" w:lineRule="auto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Dorośli: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- skurczowy – 40 – 260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rozkurczowe – 20 -200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średnie – 26 – 220 mmHg</w:t>
            </w:r>
          </w:p>
          <w:p w:rsidR="00256F77" w:rsidRPr="00256F77" w:rsidRDefault="00256F77" w:rsidP="00256F77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Dzieci: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- skurczowy – 40 – 230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lastRenderedPageBreak/>
              <w:t>- rozkurczowe – 20 -160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średnie – 26 – 183 mmHg</w:t>
            </w:r>
          </w:p>
          <w:p w:rsidR="00256F77" w:rsidRPr="00256F77" w:rsidRDefault="00256F77" w:rsidP="00256F77">
            <w:pPr>
              <w:pStyle w:val="Akapitzlist"/>
              <w:numPr>
                <w:ilvl w:val="0"/>
                <w:numId w:val="1"/>
              </w:numPr>
              <w:autoSpaceDN w:val="0"/>
              <w:spacing w:after="0" w:line="360" w:lineRule="auto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Noworodki: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 - skurczowy – 40 – 130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rozkurczowe – 20 -100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- średnie – 26 – 110 mmHg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Wysokiej rozdzielczości ekran LCD, kolorowy , dotykowy , z regulacją kontrastu ekranu oraz regulacją podświetlenia ekranu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Automatyczne dostosowanie jasności wyświetlacza w zależności od panujących warunków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Widoczne ikony, kolorystycznie różnicujące wybrany profil badania – dorosły ikona niebieska, dziecko ikona zielona, niemowlę ikona fioletowa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 xml:space="preserve">Opcje komunikacji: </w:t>
            </w:r>
            <w:proofErr w:type="spellStart"/>
            <w:r w:rsidRPr="00256F77">
              <w:rPr>
                <w:rFonts w:ascii="Century Gothic" w:hAnsi="Century Gothic" w:cs="Tahoma"/>
                <w:sz w:val="18"/>
                <w:szCs w:val="18"/>
              </w:rPr>
              <w:t>WiFi</w:t>
            </w:r>
            <w:proofErr w:type="spellEnd"/>
            <w:r w:rsidRPr="00256F77">
              <w:rPr>
                <w:rFonts w:ascii="Century Gothic" w:hAnsi="Century Gothic" w:cs="Tahoma"/>
                <w:sz w:val="18"/>
                <w:szCs w:val="18"/>
              </w:rPr>
              <w:t>, Bluetooth, przywołanie pielęgniarki, Ethernet, port USB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96 godzinne trendy SpO2 i pulsu z rozdzielczością 2 sekundy, możliwością wydrukowania na zewnętrznej drukarce lub przesłania do innego urządzenia szeregowego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Granice alarmów stale widoczne na ekranie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Alarmy dźwiękowy i wizualny dla wszystkich mierzonych parametrów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Indywidualne ustawienia granic alarmów i zapamiętywanie ich przez urządzenie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Zmienna wysokość tonu saturacji podczas zmian jej wartości pozwalająca na śledzenia zmian SpO2 bez</w:t>
            </w:r>
          </w:p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podchodzenia do monitora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Alarm dźwiękowy odłączenia czujnika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Alarm dźwiękowy wyładowania akumulatora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Możliwość regulacji głośności alarmu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Możliwość regulacji czasu wyciszenia alarmu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Czas uśredniania 2,4,8,10,12,14 lub 16 sekund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Wskaźnik pomiaru perfuzji (PI), oceniający perfuzję w miejscu pomiaru, wyświetlany w sposób cyfrowy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Zakres pomiaru perfuzji 0,02% - 20%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56F77" w:rsidRPr="00256F77" w:rsidTr="00605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256F77">
              <w:rPr>
                <w:rFonts w:ascii="Century Gothic" w:hAnsi="Century Gothic" w:cs="Tahoma"/>
                <w:sz w:val="18"/>
                <w:szCs w:val="18"/>
              </w:rPr>
              <w:t>Możliwość ustawienie czułości pomiaru w 3 zakresach: NORM, MAX i APOD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Default="00256F77" w:rsidP="00256F77">
            <w:pPr>
              <w:jc w:val="center"/>
            </w:pPr>
            <w:r w:rsidRPr="00EC7E17">
              <w:rPr>
                <w:rFonts w:ascii="Century Gothic" w:hAnsi="Century Gothic" w:cs="Tahom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6F77" w:rsidRPr="00256F77" w:rsidRDefault="00256F77" w:rsidP="00256F77">
            <w:pPr>
              <w:pStyle w:val="Standard"/>
              <w:spacing w:after="0"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:rsidR="00605530" w:rsidRPr="00256F77" w:rsidRDefault="00605530" w:rsidP="00256F77">
      <w:pPr>
        <w:pStyle w:val="Standard"/>
        <w:spacing w:after="0" w:line="360" w:lineRule="auto"/>
        <w:rPr>
          <w:rFonts w:ascii="Century Gothic" w:hAnsi="Century Gothic"/>
          <w:sz w:val="18"/>
          <w:szCs w:val="18"/>
        </w:rPr>
      </w:pPr>
    </w:p>
    <w:p w:rsidR="001540AD" w:rsidRPr="00256F77" w:rsidRDefault="001540AD" w:rsidP="00256F77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256F77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256F77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256F77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256F77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256F77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1540AD" w:rsidRPr="00256F77" w:rsidRDefault="001540AD" w:rsidP="00256F77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256F77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256F77">
        <w:rPr>
          <w:rFonts w:ascii="Century Gothic" w:hAnsi="Century Gothic" w:cs="Tahoma"/>
          <w:sz w:val="18"/>
          <w:szCs w:val="18"/>
        </w:rPr>
        <w:t xml:space="preserve"> </w:t>
      </w:r>
      <w:r w:rsidRPr="00256F77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1540AD" w:rsidRPr="00256F77" w:rsidRDefault="001540AD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1540AD" w:rsidRDefault="001540AD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56F77" w:rsidRDefault="00256F77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56F77" w:rsidRDefault="00256F77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56F77" w:rsidRDefault="00256F77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256F77" w:rsidRPr="00256F77" w:rsidRDefault="00256F77" w:rsidP="00256F77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1540AD" w:rsidRPr="00256F77" w:rsidRDefault="001540AD" w:rsidP="00256F77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256F77">
        <w:rPr>
          <w:rFonts w:ascii="Century Gothic" w:hAnsi="Century Gothic" w:cs="Times New Roman"/>
          <w:b/>
          <w:bCs/>
          <w:sz w:val="18"/>
          <w:szCs w:val="18"/>
        </w:rPr>
        <w:lastRenderedPageBreak/>
        <w:t>Część B: FORMULARZ CENOWY</w:t>
      </w:r>
    </w:p>
    <w:p w:rsidR="001540AD" w:rsidRPr="00256F77" w:rsidRDefault="001540AD" w:rsidP="00256F77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1540AD" w:rsidRPr="00256F77" w:rsidTr="004104BE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1540AD" w:rsidRPr="00256F77" w:rsidTr="004104BE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256F77">
              <w:rPr>
                <w:rFonts w:ascii="Century Gothic" w:hAnsi="Century Gothic" w:cs="Times New Roman"/>
                <w:sz w:val="18"/>
                <w:szCs w:val="18"/>
              </w:rPr>
              <w:t>Pulsoksymetr</w:t>
            </w:r>
            <w:proofErr w:type="spellEnd"/>
            <w:r w:rsidRPr="00256F77">
              <w:rPr>
                <w:rFonts w:ascii="Century Gothic" w:hAnsi="Century Gothic" w:cs="Times New Roman"/>
                <w:sz w:val="18"/>
                <w:szCs w:val="18"/>
              </w:rPr>
              <w:t xml:space="preserve"> przenośny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56F77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  <w:p w:rsidR="001540AD" w:rsidRPr="00256F77" w:rsidRDefault="00256F77" w:rsidP="00256F77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40AD" w:rsidRPr="00256F77" w:rsidRDefault="001540AD" w:rsidP="00256F77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>netto:</w:t>
      </w:r>
      <w:r w:rsidRPr="00256F77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256F77">
        <w:rPr>
          <w:rFonts w:ascii="Century Gothic" w:hAnsi="Century Gothic"/>
          <w:b/>
          <w:sz w:val="18"/>
          <w:szCs w:val="18"/>
        </w:rPr>
        <w:t>brutto:</w:t>
      </w:r>
      <w:r w:rsidRPr="00256F77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1540AD" w:rsidRPr="00256F77" w:rsidRDefault="001540AD" w:rsidP="00256F77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256F77">
        <w:rPr>
          <w:rFonts w:ascii="Century Gothic" w:hAnsi="Century Gothic"/>
          <w:sz w:val="18"/>
          <w:szCs w:val="18"/>
          <w:u w:val="dotted"/>
        </w:rPr>
        <w:tab/>
      </w:r>
      <w:r w:rsidRPr="00256F77">
        <w:rPr>
          <w:rFonts w:ascii="Century Gothic" w:hAnsi="Century Gothic"/>
          <w:sz w:val="18"/>
          <w:szCs w:val="18"/>
        </w:rPr>
        <w:t xml:space="preserve"> dnia </w:t>
      </w:r>
      <w:r w:rsidRPr="00256F77">
        <w:rPr>
          <w:rFonts w:ascii="Century Gothic" w:hAnsi="Century Gothic"/>
          <w:sz w:val="18"/>
          <w:szCs w:val="18"/>
          <w:u w:val="dotted"/>
        </w:rPr>
        <w:tab/>
      </w:r>
      <w:r w:rsidRPr="00256F77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1540AD" w:rsidRPr="00256F77" w:rsidRDefault="001540AD" w:rsidP="00256F77">
      <w:pPr>
        <w:spacing w:line="360" w:lineRule="auto"/>
        <w:rPr>
          <w:rFonts w:ascii="Century Gothic" w:hAnsi="Century Gothic"/>
          <w:i/>
          <w:iCs/>
          <w:sz w:val="18"/>
          <w:szCs w:val="18"/>
        </w:rPr>
      </w:pPr>
      <w:r w:rsidRPr="00256F77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256F77">
        <w:rPr>
          <w:rFonts w:ascii="Century Gothic" w:hAnsi="Century Gothic"/>
          <w:sz w:val="18"/>
          <w:szCs w:val="18"/>
        </w:rPr>
        <w:t xml:space="preserve"> /</w:t>
      </w:r>
    </w:p>
    <w:p w:rsidR="00605530" w:rsidRPr="00256F77" w:rsidRDefault="00605530" w:rsidP="00256F77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605530" w:rsidRPr="00256F77" w:rsidSect="0060553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84" w:rsidRDefault="00A70C84" w:rsidP="00760D0C">
      <w:r>
        <w:separator/>
      </w:r>
    </w:p>
  </w:endnote>
  <w:endnote w:type="continuationSeparator" w:id="0">
    <w:p w:rsidR="00A70C84" w:rsidRDefault="00A70C84" w:rsidP="0076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1737"/>
      <w:docPartObj>
        <w:docPartGallery w:val="Page Numbers (Bottom of Page)"/>
        <w:docPartUnique/>
      </w:docPartObj>
    </w:sdtPr>
    <w:sdtEndPr/>
    <w:sdtContent>
      <w:p w:rsidR="00760D0C" w:rsidRDefault="00760D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F77">
          <w:rPr>
            <w:noProof/>
          </w:rPr>
          <w:t>5</w:t>
        </w:r>
        <w:r>
          <w:fldChar w:fldCharType="end"/>
        </w:r>
      </w:p>
    </w:sdtContent>
  </w:sdt>
  <w:p w:rsidR="00760D0C" w:rsidRDefault="00760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84" w:rsidRDefault="00A70C84" w:rsidP="00760D0C">
      <w:r>
        <w:separator/>
      </w:r>
    </w:p>
  </w:footnote>
  <w:footnote w:type="continuationSeparator" w:id="0">
    <w:p w:rsidR="00A70C84" w:rsidRDefault="00A70C84" w:rsidP="0076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9B3"/>
    <w:multiLevelType w:val="multilevel"/>
    <w:tmpl w:val="41048EF2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0B"/>
    <w:rsid w:val="001540AD"/>
    <w:rsid w:val="001D430B"/>
    <w:rsid w:val="00256F77"/>
    <w:rsid w:val="005B1721"/>
    <w:rsid w:val="00605530"/>
    <w:rsid w:val="00760D0C"/>
    <w:rsid w:val="008755AF"/>
    <w:rsid w:val="00A70C84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5530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05530"/>
    <w:pPr>
      <w:suppressAutoHyphens/>
      <w:autoSpaceDN w:val="0"/>
      <w:textAlignment w:val="baseline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Standard"/>
    <w:rsid w:val="00605530"/>
    <w:pPr>
      <w:spacing w:after="140" w:line="288" w:lineRule="auto"/>
    </w:pPr>
  </w:style>
  <w:style w:type="numbering" w:customStyle="1" w:styleId="WWNum1">
    <w:name w:val="WWNum1"/>
    <w:basedOn w:val="Bezlisty"/>
    <w:rsid w:val="0060553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6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05530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05530"/>
    <w:pPr>
      <w:suppressAutoHyphens/>
      <w:autoSpaceDN w:val="0"/>
      <w:textAlignment w:val="baseline"/>
    </w:pPr>
    <w:rPr>
      <w:rFonts w:ascii="Calibri" w:eastAsia="F" w:hAnsi="Calibri" w:cs="F"/>
      <w:color w:val="00000A"/>
      <w:kern w:val="3"/>
      <w:lang w:eastAsia="pl-PL"/>
    </w:rPr>
  </w:style>
  <w:style w:type="paragraph" w:customStyle="1" w:styleId="Textbody">
    <w:name w:val="Text body"/>
    <w:basedOn w:val="Standard"/>
    <w:rsid w:val="00605530"/>
    <w:pPr>
      <w:spacing w:after="140" w:line="288" w:lineRule="auto"/>
    </w:pPr>
  </w:style>
  <w:style w:type="numbering" w:customStyle="1" w:styleId="WWNum1">
    <w:name w:val="WWNum1"/>
    <w:basedOn w:val="Bezlisty"/>
    <w:rsid w:val="0060553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6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D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2017-10-16T11:54:00Z</cp:lastPrinted>
  <dcterms:created xsi:type="dcterms:W3CDTF">2017-10-12T10:10:00Z</dcterms:created>
  <dcterms:modified xsi:type="dcterms:W3CDTF">2017-10-16T11:54:00Z</dcterms:modified>
</cp:coreProperties>
</file>