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7924" w:rsidRPr="00026116" w:rsidRDefault="00587924" w:rsidP="00026116">
      <w:pPr>
        <w:jc w:val="right"/>
        <w:rPr>
          <w:rFonts w:ascii="Century Gothic" w:hAnsi="Century Gothic"/>
          <w:b/>
          <w:sz w:val="18"/>
          <w:szCs w:val="18"/>
        </w:rPr>
      </w:pPr>
      <w:r w:rsidRPr="00026116">
        <w:rPr>
          <w:rFonts w:ascii="Century Gothic" w:hAnsi="Century Gothic"/>
          <w:b/>
          <w:sz w:val="18"/>
          <w:szCs w:val="18"/>
        </w:rPr>
        <w:t xml:space="preserve">Załącznik nr 1.3 do </w:t>
      </w:r>
      <w:proofErr w:type="spellStart"/>
      <w:r w:rsidRPr="00026116">
        <w:rPr>
          <w:rFonts w:ascii="Century Gothic" w:hAnsi="Century Gothic"/>
          <w:b/>
          <w:sz w:val="18"/>
          <w:szCs w:val="18"/>
        </w:rPr>
        <w:t>siwz</w:t>
      </w:r>
      <w:proofErr w:type="spellEnd"/>
      <w:r w:rsidRPr="00026116">
        <w:rPr>
          <w:rFonts w:ascii="Century Gothic" w:hAnsi="Century Gothic"/>
          <w:b/>
          <w:sz w:val="18"/>
          <w:szCs w:val="18"/>
        </w:rPr>
        <w:t xml:space="preserve"> – Formularz Szczegółowy Oferty</w:t>
      </w:r>
    </w:p>
    <w:p w:rsidR="00587924" w:rsidRPr="00026116" w:rsidRDefault="00587924" w:rsidP="00026116">
      <w:pPr>
        <w:jc w:val="right"/>
        <w:rPr>
          <w:rFonts w:ascii="Century Gothic" w:hAnsi="Century Gothic"/>
          <w:b/>
          <w:sz w:val="18"/>
          <w:szCs w:val="18"/>
        </w:rPr>
      </w:pPr>
      <w:r w:rsidRPr="00026116">
        <w:rPr>
          <w:rFonts w:ascii="Century Gothic" w:hAnsi="Century Gothic"/>
          <w:b/>
          <w:sz w:val="18"/>
          <w:szCs w:val="18"/>
        </w:rPr>
        <w:t>Oznaczenie postępowania: DA</w:t>
      </w:r>
      <w:r w:rsidR="008C7EB3" w:rsidRPr="00026116">
        <w:rPr>
          <w:rFonts w:ascii="Century Gothic" w:hAnsi="Century Gothic"/>
          <w:b/>
          <w:sz w:val="18"/>
          <w:szCs w:val="18"/>
        </w:rPr>
        <w:t>.</w:t>
      </w:r>
      <w:r w:rsidRPr="00026116">
        <w:rPr>
          <w:rFonts w:ascii="Century Gothic" w:hAnsi="Century Gothic"/>
          <w:b/>
          <w:sz w:val="18"/>
          <w:szCs w:val="18"/>
        </w:rPr>
        <w:t>ZP</w:t>
      </w:r>
      <w:r w:rsidR="008C7EB3" w:rsidRPr="00026116">
        <w:rPr>
          <w:rFonts w:ascii="Century Gothic" w:hAnsi="Century Gothic"/>
          <w:b/>
          <w:sz w:val="18"/>
          <w:szCs w:val="18"/>
        </w:rPr>
        <w:t>.242.82.2017</w:t>
      </w:r>
    </w:p>
    <w:p w:rsidR="00587924" w:rsidRPr="00026116" w:rsidRDefault="00587924" w:rsidP="00026116">
      <w:pPr>
        <w:rPr>
          <w:rFonts w:ascii="Century Gothic" w:hAnsi="Century Gothic"/>
          <w:b/>
          <w:sz w:val="18"/>
          <w:szCs w:val="18"/>
        </w:rPr>
      </w:pPr>
    </w:p>
    <w:p w:rsidR="00587924" w:rsidRPr="00026116" w:rsidRDefault="00587924" w:rsidP="00026116">
      <w:pPr>
        <w:jc w:val="center"/>
        <w:rPr>
          <w:rFonts w:ascii="Century Gothic" w:hAnsi="Century Gothic"/>
          <w:b/>
          <w:sz w:val="18"/>
          <w:szCs w:val="18"/>
        </w:rPr>
      </w:pPr>
      <w:r w:rsidRPr="00026116">
        <w:rPr>
          <w:rFonts w:ascii="Century Gothic" w:hAnsi="Century Gothic"/>
          <w:b/>
          <w:sz w:val="18"/>
          <w:szCs w:val="18"/>
        </w:rPr>
        <w:t>Pakiet nr 3</w:t>
      </w:r>
    </w:p>
    <w:p w:rsidR="00587924" w:rsidRPr="00026116" w:rsidRDefault="00587924" w:rsidP="00026116">
      <w:pPr>
        <w:rPr>
          <w:rFonts w:ascii="Century Gothic" w:hAnsi="Century Gothic"/>
          <w:b/>
          <w:sz w:val="18"/>
          <w:szCs w:val="18"/>
        </w:rPr>
      </w:pPr>
    </w:p>
    <w:p w:rsidR="00587924" w:rsidRPr="00026116" w:rsidRDefault="00587924" w:rsidP="00026116">
      <w:pPr>
        <w:rPr>
          <w:rFonts w:ascii="Century Gothic" w:hAnsi="Century Gothic"/>
          <w:b/>
          <w:sz w:val="18"/>
          <w:szCs w:val="18"/>
        </w:rPr>
      </w:pPr>
      <w:r w:rsidRPr="00026116">
        <w:rPr>
          <w:rFonts w:ascii="Century Gothic" w:hAnsi="Century Gothic"/>
          <w:b/>
          <w:sz w:val="18"/>
          <w:szCs w:val="18"/>
        </w:rPr>
        <w:t>Respirator –  2 sztuki</w:t>
      </w:r>
    </w:p>
    <w:tbl>
      <w:tblPr>
        <w:tblW w:w="0" w:type="auto"/>
        <w:tblInd w:w="-11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1098"/>
        <w:gridCol w:w="4361"/>
        <w:gridCol w:w="4111"/>
      </w:tblGrid>
      <w:tr w:rsidR="00587924" w:rsidRPr="00026116" w:rsidTr="00587924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43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rPr>
                <w:rFonts w:ascii="Century Gothic" w:hAnsi="Century Gothic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bCs/>
                <w:sz w:val="18"/>
                <w:szCs w:val="18"/>
              </w:rPr>
              <w:t>Opis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87924" w:rsidRPr="00026116" w:rsidRDefault="00587924" w:rsidP="00026116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587924" w:rsidRPr="00026116" w:rsidTr="00587924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1.</w:t>
            </w:r>
          </w:p>
        </w:tc>
        <w:tc>
          <w:tcPr>
            <w:tcW w:w="43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Wytwórca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87924" w:rsidRPr="00026116" w:rsidRDefault="00587924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587924" w:rsidRPr="00026116" w:rsidTr="00587924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2.</w:t>
            </w:r>
          </w:p>
        </w:tc>
        <w:tc>
          <w:tcPr>
            <w:tcW w:w="43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Nazwa – model/typ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87924" w:rsidRPr="00026116" w:rsidRDefault="00587924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587924" w:rsidRPr="00026116" w:rsidTr="00587924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jc w:val="left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3.</w:t>
            </w:r>
          </w:p>
        </w:tc>
        <w:tc>
          <w:tcPr>
            <w:tcW w:w="43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Kraj pochodzenia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87924" w:rsidRPr="00026116" w:rsidRDefault="00587924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587924" w:rsidRPr="00026116" w:rsidTr="00587924">
        <w:trPr>
          <w:cantSplit/>
        </w:trPr>
        <w:tc>
          <w:tcPr>
            <w:tcW w:w="1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4.</w:t>
            </w:r>
          </w:p>
        </w:tc>
        <w:tc>
          <w:tcPr>
            <w:tcW w:w="43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Rok produkcji  2017</w:t>
            </w:r>
          </w:p>
        </w:tc>
        <w:tc>
          <w:tcPr>
            <w:tcW w:w="41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87924" w:rsidRPr="00026116" w:rsidRDefault="00587924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587924" w:rsidRPr="00026116" w:rsidRDefault="00587924" w:rsidP="00026116">
      <w:pPr>
        <w:ind w:left="360"/>
        <w:rPr>
          <w:rFonts w:ascii="Century Gothic" w:hAnsi="Century Gothic"/>
          <w:sz w:val="18"/>
          <w:szCs w:val="18"/>
        </w:rPr>
      </w:pPr>
    </w:p>
    <w:p w:rsidR="00587924" w:rsidRPr="00026116" w:rsidRDefault="00587924" w:rsidP="00026116">
      <w:pPr>
        <w:pStyle w:val="Akapitzlist"/>
        <w:spacing w:after="0" w:line="360" w:lineRule="auto"/>
        <w:jc w:val="both"/>
        <w:rPr>
          <w:rFonts w:ascii="Century Gothic" w:hAnsi="Century Gothic"/>
          <w:b/>
          <w:bCs/>
          <w:sz w:val="18"/>
          <w:szCs w:val="18"/>
        </w:rPr>
      </w:pPr>
      <w:r w:rsidRPr="00026116">
        <w:rPr>
          <w:rFonts w:ascii="Century Gothic" w:hAnsi="Century Gothic"/>
          <w:b/>
          <w:bCs/>
          <w:sz w:val="18"/>
          <w:szCs w:val="18"/>
        </w:rPr>
        <w:t>Część A: ZESTAWIENIE PARAMETRÓW TECHNICZNO-UŻYTKOWYCH</w:t>
      </w:r>
    </w:p>
    <w:tbl>
      <w:tblPr>
        <w:tblW w:w="14459" w:type="dxa"/>
        <w:tblInd w:w="-459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6095"/>
        <w:gridCol w:w="2835"/>
        <w:gridCol w:w="4820"/>
      </w:tblGrid>
      <w:tr w:rsidR="001E5AFB" w:rsidRPr="00026116" w:rsidTr="001E5AFB"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pct15" w:color="auto" w:fill="auto"/>
          </w:tcPr>
          <w:p w:rsidR="001E5AFB" w:rsidRPr="00026116" w:rsidRDefault="001E5AFB" w:rsidP="00026116">
            <w:pPr>
              <w:ind w:right="-108"/>
              <w:rPr>
                <w:rFonts w:ascii="Century Gothic" w:hAnsi="Century Gothic"/>
                <w:b/>
                <w:sz w:val="18"/>
                <w:szCs w:val="18"/>
              </w:rPr>
            </w:pPr>
          </w:p>
          <w:p w:rsidR="001E5AFB" w:rsidRPr="00026116" w:rsidRDefault="001E5AFB" w:rsidP="00026116">
            <w:pPr>
              <w:ind w:right="-108"/>
              <w:rPr>
                <w:rFonts w:ascii="Century Gothic" w:hAnsi="Century Gothic"/>
                <w:b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Lp.</w:t>
            </w:r>
          </w:p>
        </w:tc>
        <w:tc>
          <w:tcPr>
            <w:tcW w:w="609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pct15" w:color="auto" w:fill="auto"/>
          </w:tcPr>
          <w:p w:rsidR="001E5AFB" w:rsidRPr="00026116" w:rsidRDefault="001E5AFB" w:rsidP="00026116">
            <w:pPr>
              <w:rPr>
                <w:rFonts w:ascii="Century Gothic" w:hAnsi="Century Gothic"/>
                <w:b/>
                <w:sz w:val="18"/>
                <w:szCs w:val="18"/>
              </w:rPr>
            </w:pPr>
          </w:p>
          <w:p w:rsidR="001E5AFB" w:rsidRPr="00026116" w:rsidRDefault="001E5AFB" w:rsidP="00026116">
            <w:pPr>
              <w:rPr>
                <w:rFonts w:ascii="Century Gothic" w:hAnsi="Century Gothic"/>
                <w:b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PARAMETRY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pct15" w:color="auto" w:fill="auto"/>
          </w:tcPr>
          <w:p w:rsidR="001E5AFB" w:rsidRPr="00026116" w:rsidRDefault="001E5AFB" w:rsidP="00026116">
            <w:pPr>
              <w:rPr>
                <w:rFonts w:ascii="Century Gothic" w:hAnsi="Century Gothic"/>
                <w:b/>
                <w:sz w:val="18"/>
                <w:szCs w:val="18"/>
              </w:rPr>
            </w:pPr>
          </w:p>
          <w:p w:rsidR="001E5AFB" w:rsidRPr="00026116" w:rsidRDefault="001E5AFB" w:rsidP="00026116">
            <w:pPr>
              <w:rPr>
                <w:rFonts w:ascii="Century Gothic" w:hAnsi="Century Gothic"/>
                <w:b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Wartość wymagana</w:t>
            </w:r>
          </w:p>
          <w:p w:rsidR="001E5AFB" w:rsidRPr="00026116" w:rsidRDefault="001E5AFB" w:rsidP="00026116">
            <w:pPr>
              <w:rPr>
                <w:rFonts w:ascii="Century Gothic" w:hAnsi="Century Gothic"/>
                <w:b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pct15" w:color="auto" w:fill="auto"/>
          </w:tcPr>
          <w:p w:rsidR="001E5AFB" w:rsidRPr="00026116" w:rsidRDefault="001E5AFB" w:rsidP="00026116">
            <w:pPr>
              <w:jc w:val="right"/>
              <w:rPr>
                <w:rFonts w:ascii="Century Gothic" w:hAnsi="Century Gothic" w:cs="Arial"/>
                <w:b/>
                <w:bCs/>
                <w:sz w:val="18"/>
                <w:szCs w:val="18"/>
              </w:rPr>
            </w:pPr>
          </w:p>
          <w:p w:rsidR="00026116" w:rsidRPr="00026116" w:rsidRDefault="00026116" w:rsidP="00026116">
            <w:pPr>
              <w:jc w:val="center"/>
              <w:rPr>
                <w:rFonts w:ascii="Century Gothic" w:hAnsi="Century Gothic"/>
                <w:b/>
                <w:sz w:val="18"/>
                <w:szCs w:val="18"/>
                <w:lang w:eastAsia="en-US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  <w:lang w:eastAsia="en-US"/>
              </w:rPr>
              <w:t>Parametry oferowane</w:t>
            </w:r>
          </w:p>
          <w:p w:rsidR="001E5AFB" w:rsidRPr="00026116" w:rsidRDefault="00026116" w:rsidP="00026116">
            <w:pPr>
              <w:jc w:val="center"/>
              <w:rPr>
                <w:rFonts w:ascii="Century Gothic" w:hAnsi="Century Gothic" w:cs="Arial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  <w:lang w:eastAsia="en-US"/>
              </w:rPr>
              <w:t>(podać zakres lub opisać)</w:t>
            </w: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276"/>
        </w:trPr>
        <w:tc>
          <w:tcPr>
            <w:tcW w:w="709" w:type="dxa"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ind w:left="170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I</w:t>
            </w:r>
          </w:p>
        </w:tc>
        <w:tc>
          <w:tcPr>
            <w:tcW w:w="609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WARUNKI OGÓLNE</w:t>
            </w:r>
          </w:p>
        </w:tc>
        <w:tc>
          <w:tcPr>
            <w:tcW w:w="283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276"/>
        </w:trPr>
        <w:tc>
          <w:tcPr>
            <w:tcW w:w="709" w:type="dxa"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numPr>
                <w:ilvl w:val="0"/>
                <w:numId w:val="2"/>
              </w:numPr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Certyfikat CE i wpis do rejestru wyrobów medycznych</w:t>
            </w:r>
          </w:p>
        </w:tc>
        <w:tc>
          <w:tcPr>
            <w:tcW w:w="283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numPr>
                <w:ilvl w:val="0"/>
                <w:numId w:val="1"/>
              </w:numPr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Respirator do terapii niewydolności oddechowej różnego typu do stosowania na różnych oddziałach szpitalnych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8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numPr>
                <w:ilvl w:val="0"/>
                <w:numId w:val="1"/>
              </w:numPr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Respirator dla noworodków i dzieci od minimum 0,5 kg do 30 kg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8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numPr>
                <w:ilvl w:val="0"/>
                <w:numId w:val="1"/>
              </w:numPr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Respirator zamocowany na wózku z blokadą wszystkich kół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8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numPr>
                <w:ilvl w:val="0"/>
                <w:numId w:val="1"/>
              </w:numPr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Min. 1 szuflada lub schowek na akcesoria w wózku respiratora. Szuflady/schowki nieprzezierne, chroniące od kurzu i płynów (nie dopuszcza się koszyków)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8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numPr>
                <w:ilvl w:val="0"/>
                <w:numId w:val="1"/>
              </w:numPr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Możliwość rozbudowy o mocowanie respiratora na ramie łóżka (dopuszczone uchwyty tylko oryginalne, atestowane przez producenta respiratorów)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67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ind w:left="170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II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Nagwek2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ZASILANIE RESPITATORA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672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numPr>
                <w:ilvl w:val="0"/>
                <w:numId w:val="3"/>
              </w:numPr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Zasilanie w tlen i powietrze ze źródła sprężonych gazów o zakresie ciśnienia min. 2,0 – 6,0 bar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69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numPr>
                <w:ilvl w:val="0"/>
                <w:numId w:val="1"/>
              </w:numPr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Przewody zasilania gazowego o dł. min. 3 m. do tlenu i powietrza ze złączami przystosowanymi do istniejącej instalacji gazowej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47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numPr>
                <w:ilvl w:val="0"/>
                <w:numId w:val="1"/>
              </w:numPr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Układ mieszania gazów  oddechowych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</w:rPr>
              <w:t>elektroniczno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</w:rPr>
              <w:t xml:space="preserve"> - pneumatyczny z płynną regulacją  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47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numPr>
                <w:ilvl w:val="0"/>
                <w:numId w:val="1"/>
              </w:numPr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Automatyczna kompensacja braku jednego z gazów (tlenu lub powietrza) i praca tylko z jednym gazem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11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numPr>
                <w:ilvl w:val="0"/>
                <w:numId w:val="1"/>
              </w:numPr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Zasilanie z wewnętrznego akumulatora na min. 50 minut pracy przy wszystkich trybach i parametrach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5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numPr>
                <w:ilvl w:val="0"/>
                <w:numId w:val="1"/>
              </w:numPr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Możliwość rozbudowy wewnętrznego zasilania akumulatorowego przez użytkownika w trakcie pracy urządzenia, bez użycia narzędzi, bez udziału serwisu – baterie w postaci wkładanych do respiratora modułów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5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numPr>
                <w:ilvl w:val="0"/>
                <w:numId w:val="1"/>
              </w:numPr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Napięcie zasilania AC 230 V, tolerancja </w:t>
            </w:r>
            <w:r w:rsidRPr="00026116">
              <w:rPr>
                <w:rFonts w:ascii="Century Gothic" w:hAnsi="Century Gothic"/>
                <w:sz w:val="18"/>
                <w:szCs w:val="18"/>
              </w:rPr>
              <w:t xml:space="preserve"> 10%, 50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</w:rPr>
              <w:t>Hz</w:t>
            </w:r>
            <w:proofErr w:type="spellEnd"/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5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numPr>
                <w:ilvl w:val="0"/>
                <w:numId w:val="1"/>
              </w:numPr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Wbudowany port dla zewnętrznego zasilania 12 V w razie awarii zasilania głównego i wyczerpania akumulatorów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42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ind w:left="170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III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RODZAJE WENTYLACJI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42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16.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Wentylacja z zadaną objętością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42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17.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Wentylacja z  zadanym ciśnieniem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44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18.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Wentylacja ze wspomaganiem oddechu spontanicznego </w:t>
            </w:r>
            <w:r w:rsidRPr="00026116">
              <w:rPr>
                <w:rFonts w:ascii="Century Gothic" w:hAnsi="Century Gothic"/>
                <w:sz w:val="18"/>
                <w:szCs w:val="18"/>
              </w:rPr>
              <w:lastRenderedPageBreak/>
              <w:t>ciśnieniem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lastRenderedPageBreak/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452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lastRenderedPageBreak/>
              <w:t>19.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Wentylacja typu SIMV-VC oraz SIMV-PC oraz SIMV-PRVC i wspomaganiem ciśnieniowym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61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20.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Wentylacja ciśnieniowa z gwarantowaną objętością typu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</w:rPr>
              <w:t>AutoFlow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</w:rPr>
              <w:t xml:space="preserve"> lub APV lub VC+ lub PRVC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8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21.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Wentylacja awaryjna przy niewydolnej wentylacji wspomaganej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2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22.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Wentylacja nieinwazyjna przez maskę NIV ze wspomaganiem ciśnieniowym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2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23.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Wentylacja nieinwazyjna przez maskę NIV ciśnieniowo kontrolowana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2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24.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Wentylacja nieinwazyjna typu nosowy CPAP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2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25.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Nowoczesny tryb wentylacji służący do odzwyczajania pacjenta od respiratora – tryb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</w:rPr>
              <w:t>Automode</w:t>
            </w:r>
            <w:proofErr w:type="spellEnd"/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2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26.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Oprogramowanie do wentylacji NAVA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2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27.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Wbudowane oprogramowanie do wentylacji neuronalnie sterowanej NIV NAVA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2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28.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Regulowane ręcznie wyzwalanie oddechu przepływem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2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29.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Regulowane ręcznie wyzwalanie oddechu ciśnieniem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2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30.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Regulowane ręcznie wyzwalanie oddechu ciśnieniem w szerokim zakresie min. -1 do -20 cmH2O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2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31.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Regulowane ręcznie wyzwalanie oddechu bazujące na odczycie </w:t>
            </w:r>
            <w:r w:rsidRPr="00026116">
              <w:rPr>
                <w:rFonts w:ascii="Century Gothic" w:hAnsi="Century Gothic"/>
                <w:sz w:val="18"/>
                <w:szCs w:val="18"/>
              </w:rPr>
              <w:lastRenderedPageBreak/>
              <w:t>elektrycznej aktywności przepony konieczne dla zapewnienia lepszej synchronizacji u pacjentów mających trudności w odzwyczajeniu od respiratora  oraz konieczne dla uniknięcia zafałszowań i artefaktów zdarzających się przy wyzwalaniu tradycyjnym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lastRenderedPageBreak/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2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lastRenderedPageBreak/>
              <w:t>32.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Na wyposażeniu z respiratorami min. 1 urządzenie do odczytu elektrycznej aktywności przepony (dopuszczone są zarówno rozwiązania w postaci modułów sprzętowych montowanych bezpośrednio w respiratorach i pozwalających na prezentację krzywej dynamicznej ruchów przepony jak również  niezależne od respiratorów urządzenia pozwalające na odczyt elektrycznej aktywności przepony i umożliwiające prezentację krzywej dynamicznej ruchów przepony na swoim ekranie)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427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33.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Funkcja powrotu do poprzedniego trybu     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i ustawień wentylacji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34.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Funkcja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</w:rPr>
              <w:t>natlenowania</w:t>
            </w:r>
            <w:proofErr w:type="spellEnd"/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263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35.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Funkcja wstrzymania na wdechu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281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36.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Funkcja wstrzymania na wydechu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3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37.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Funkcja automatycznej kompensacja podatności układu oddechowego z możliwością włączania i wyłączania w trakcie wentylacji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724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38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Funkcja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</w:rPr>
              <w:t>natlenowywania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</w:rPr>
              <w:t xml:space="preserve"> i automatycznego rozpoznawania odłączenia i podłączenia pacjenta przy czynności odsysania z dróg oddechowych z zatrzymaniem pracy respiratora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28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ind w:left="170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IV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PARAMETRY NASTAWIANE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28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lastRenderedPageBreak/>
              <w:t>39.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Częstość oddechów, minimalny zakres   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5-150 oddechów./min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77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40.</w:t>
            </w:r>
          </w:p>
        </w:tc>
        <w:tc>
          <w:tcPr>
            <w:tcW w:w="6095" w:type="dxa"/>
            <w:tcBorders>
              <w:top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Objętość pojedynczego oddechu,   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zakres min. 2 - 350 ml</w:t>
            </w:r>
          </w:p>
        </w:tc>
        <w:tc>
          <w:tcPr>
            <w:tcW w:w="2835" w:type="dxa"/>
            <w:tcBorders>
              <w:top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41.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Regulowany stosunek wdechu do wydechu min. w zakresie 4:1 - 1:10 w trybie VC i PC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61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42.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Możliwość regulacji czasu wdechu lub stosunku wdechu do wydechu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61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43.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Stężenie tlenu w mieszaninie oddechowej regulowanie płynnie w zakresie 21-100%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44.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Ciśnienie wdechowe PCV (minimalny zakres 0-80 cmH2O)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45.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Ciśnienie wspomagania PSV (minimalny zakres 0-80 cmH2O)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4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46.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PEEP/CPAP minimalny zakres 1- 50 cmH2O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4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47.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Programowalna przez użytkownika konfiguracja startowa respiratora lub ustawienia parametrów wentylacji na podstawie wprowadzonej wagi pacjenta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4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48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Programowalne przez użytkownika zakresy alarmowe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272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V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PARAMETRY WYŚWIETLANE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1022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49.</w:t>
            </w:r>
          </w:p>
        </w:tc>
        <w:tc>
          <w:tcPr>
            <w:tcW w:w="6095" w:type="dxa"/>
            <w:tcBorders>
              <w:top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Monitor do obsługi respiratora i obrazowania parametrów wentylacji o przekątnej ekranu minimum 12 cali</w:t>
            </w:r>
          </w:p>
        </w:tc>
        <w:tc>
          <w:tcPr>
            <w:tcW w:w="2835" w:type="dxa"/>
            <w:tcBorders>
              <w:top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50.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Obsługa respiratora i opisy  w języku polskim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51.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Monitor z automatyczną regulacją jasności w stosunku do </w:t>
            </w:r>
            <w:r w:rsidRPr="00026116">
              <w:rPr>
                <w:rFonts w:ascii="Century Gothic" w:hAnsi="Century Gothic"/>
                <w:sz w:val="18"/>
                <w:szCs w:val="18"/>
              </w:rPr>
              <w:lastRenderedPageBreak/>
              <w:t>zmieniającego się natężenia światła w pomieszczeniu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lastRenderedPageBreak/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lastRenderedPageBreak/>
              <w:t>52.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Integralny pomiar stężenia tlenu wykonywany przy pomocy ograniczającego koszty, nie wymagającego okresowej wymiany elektronicznego czujnika tlenu ( nie chemicznego/galwanicznego )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53.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Całkowita częstość oddychania (wartość cyfrowa)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54.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Częstość i objętość minutowa oddechów własnych pacjenta (wartość cyfrowa)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55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Wdechowa i wydechowa objętość pojedynczego oddechu (wartość cyfrowa)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56.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Wdechowa i wydechowa  objętość całkowitej wentylacji minutowej (wartość cyfrowa)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57.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Ciśnienie szczytowe </w:t>
            </w:r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(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wartość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cyfrowa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)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45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58.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Średnie ciśnienie w układzie oddechowym (wartość cyfrowa)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59.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Ciśnienie pauzy </w:t>
            </w:r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(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wartość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cyfrowa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)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60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Ciśnienie PEEP </w:t>
            </w:r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(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wartość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cyfrowa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)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61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Ciśnienie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</w:rPr>
              <w:t>PEEPcałkowity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</w:rPr>
              <w:t xml:space="preserve">  </w:t>
            </w:r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(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wartość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cyfrowa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)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62.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Indeks dyszenia </w:t>
            </w:r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(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wartość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cyfrowa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)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63.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Stała czasowa  (wartość cyfrowa)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64.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proofErr w:type="spellStart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Praca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oddechowa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 xml:space="preserve">  (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wartość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cyfrowa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  <w:lang w:val="en-US"/>
              </w:rPr>
              <w:t>)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65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Podatność statyczna oraz dynamiczna (wartości cyfrowe)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66</w:t>
            </w:r>
          </w:p>
        </w:tc>
        <w:tc>
          <w:tcPr>
            <w:tcW w:w="6095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Opory wdechowe i opory wydechowe (wartości cyfrowe)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cantSplit/>
          <w:trHeight w:val="570"/>
        </w:trPr>
        <w:tc>
          <w:tcPr>
            <w:tcW w:w="70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67.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Graficzna prezentacja krzywych dynamicznych :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 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cantSplit/>
          <w:trHeight w:val="285"/>
        </w:trPr>
        <w:tc>
          <w:tcPr>
            <w:tcW w:w="709" w:type="dxa"/>
            <w:vMerge/>
            <w:tcBorders>
              <w:top w:val="single" w:sz="4" w:space="0" w:color="00000A"/>
              <w:left w:val="single" w:sz="4" w:space="0" w:color="00000A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Ciśnienie / czas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cantSplit/>
          <w:trHeight w:val="285"/>
        </w:trPr>
        <w:tc>
          <w:tcPr>
            <w:tcW w:w="709" w:type="dxa"/>
            <w:vMerge/>
            <w:tcBorders>
              <w:top w:val="single" w:sz="4" w:space="0" w:color="00000A"/>
              <w:left w:val="single" w:sz="4" w:space="0" w:color="00000A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Przepływ /czas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cantSplit/>
          <w:trHeight w:val="285"/>
        </w:trPr>
        <w:tc>
          <w:tcPr>
            <w:tcW w:w="709" w:type="dxa"/>
            <w:vMerge/>
            <w:tcBorders>
              <w:top w:val="single" w:sz="4" w:space="0" w:color="00000A"/>
              <w:left w:val="single" w:sz="4" w:space="0" w:color="00000A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Objętość / czas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cantSplit/>
          <w:trHeight w:val="285"/>
        </w:trPr>
        <w:tc>
          <w:tcPr>
            <w:tcW w:w="709" w:type="dxa"/>
            <w:vMerge/>
            <w:tcBorders>
              <w:top w:val="single" w:sz="4" w:space="0" w:color="00000A"/>
              <w:left w:val="single" w:sz="4" w:space="0" w:color="00000A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Pętle: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cantSplit/>
          <w:trHeight w:val="285"/>
        </w:trPr>
        <w:tc>
          <w:tcPr>
            <w:tcW w:w="709" w:type="dxa"/>
            <w:vMerge/>
            <w:tcBorders>
              <w:top w:val="single" w:sz="4" w:space="0" w:color="00000A"/>
              <w:left w:val="single" w:sz="4" w:space="0" w:color="00000A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Ciśnienie/objętość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cantSplit/>
          <w:trHeight w:val="285"/>
        </w:trPr>
        <w:tc>
          <w:tcPr>
            <w:tcW w:w="709" w:type="dxa"/>
            <w:vMerge/>
            <w:tcBorders>
              <w:top w:val="single" w:sz="4" w:space="0" w:color="00000A"/>
              <w:left w:val="single" w:sz="4" w:space="0" w:color="00000A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Przepływ/objętość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6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68.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Możliwość jednoczesnej prezentacji przebiegów dynamicznych i pętli oddechowych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6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69.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Automatyczne ustawianie skali przy zapisie krzywych na monitorze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6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70.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Rejestracja zdarzeń i trendy monitorowanych wartości z min. 24 godz.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ind w:left="170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VI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ALARMY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71.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Braku zasilania w energię elektryczną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72.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Braku zasilania w tlen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73.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Braku zasilania w powietrze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74.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Objętości minutowej (wysokiej i niskiej)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75.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Wysokiego ciśnienia w układzie pacjenta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76.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Niskiego i wysokiego ciśnienia PEEP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77.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Wysokiej częstości oddechów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78.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Bezdechu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79.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Stężenia tlenu w gazach wdechowych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8</w:t>
            </w:r>
            <w:r w:rsidR="00506FED" w:rsidRPr="00026116">
              <w:rPr>
                <w:rFonts w:ascii="Century Gothic" w:hAnsi="Century Gothic"/>
                <w:sz w:val="18"/>
                <w:szCs w:val="18"/>
              </w:rPr>
              <w:t>0</w:t>
            </w:r>
            <w:r w:rsidRPr="00026116">
              <w:rPr>
                <w:rFonts w:ascii="Century Gothic" w:hAnsi="Century Gothic"/>
                <w:sz w:val="18"/>
                <w:szCs w:val="18"/>
              </w:rPr>
              <w:t>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Niezdolności do pracy (uszkodzenia kontroli elektronicznej lub mechanicznej)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8</w:t>
            </w:r>
            <w:r w:rsidR="00506FED" w:rsidRPr="00026116">
              <w:rPr>
                <w:rFonts w:ascii="Century Gothic" w:hAnsi="Century Gothic"/>
                <w:sz w:val="18"/>
                <w:szCs w:val="18"/>
              </w:rPr>
              <w:t>1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Kategorie alarmów według ważności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9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8</w:t>
            </w:r>
            <w:r w:rsidR="00506FED" w:rsidRPr="00026116">
              <w:rPr>
                <w:rFonts w:ascii="Century Gothic" w:hAnsi="Century Gothic"/>
                <w:sz w:val="18"/>
                <w:szCs w:val="18"/>
              </w:rPr>
              <w:t>2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Rejestracja zdarzeń w pamięci respiratora – min. 1000 zdarzeń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675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ind w:left="170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lastRenderedPageBreak/>
              <w:t>VII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b/>
                <w:sz w:val="18"/>
                <w:szCs w:val="18"/>
              </w:rPr>
              <w:t>WYPOSAŻENIE DODATKOWE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8</w:t>
            </w:r>
            <w:r w:rsidR="00506FED" w:rsidRPr="00026116">
              <w:rPr>
                <w:rFonts w:ascii="Century Gothic" w:hAnsi="Century Gothic"/>
                <w:sz w:val="18"/>
                <w:szCs w:val="18"/>
              </w:rPr>
              <w:t>3</w:t>
            </w:r>
            <w:r w:rsidRPr="00026116">
              <w:rPr>
                <w:rFonts w:ascii="Century Gothic" w:hAnsi="Century Gothic"/>
                <w:sz w:val="18"/>
                <w:szCs w:val="18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Układ pomiarowy przepływu wielokrotnego użytku wbudowany w respirator niwelujący tworzenie dodatkowej przestrzeni martwej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8</w:t>
            </w:r>
            <w:r w:rsidR="00506FED" w:rsidRPr="00026116">
              <w:rPr>
                <w:rFonts w:ascii="Century Gothic" w:hAnsi="Century Gothic"/>
                <w:sz w:val="18"/>
                <w:szCs w:val="18"/>
              </w:rPr>
              <w:t>4</w:t>
            </w:r>
            <w:r w:rsidRPr="00026116">
              <w:rPr>
                <w:rFonts w:ascii="Century Gothic" w:hAnsi="Century Gothic"/>
                <w:sz w:val="18"/>
                <w:szCs w:val="18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Odporny na uszkodzenia układ pomiarowy przepływu typu ultradźwiękowego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8</w:t>
            </w:r>
            <w:r w:rsidR="00506FED" w:rsidRPr="00026116">
              <w:rPr>
                <w:rFonts w:ascii="Century Gothic" w:hAnsi="Century Gothic"/>
                <w:sz w:val="18"/>
                <w:szCs w:val="18"/>
              </w:rPr>
              <w:t>5</w:t>
            </w:r>
            <w:r w:rsidRPr="00026116">
              <w:rPr>
                <w:rFonts w:ascii="Century Gothic" w:hAnsi="Century Gothic"/>
                <w:sz w:val="18"/>
                <w:szCs w:val="18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Ramie wieloprzegubowe do podtrzymywania układu oddechowego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8</w:t>
            </w:r>
            <w:r w:rsidR="00506FED" w:rsidRPr="00026116">
              <w:rPr>
                <w:rFonts w:ascii="Century Gothic" w:hAnsi="Century Gothic"/>
                <w:sz w:val="18"/>
                <w:szCs w:val="18"/>
              </w:rPr>
              <w:t>6</w:t>
            </w:r>
            <w:r w:rsidRPr="00026116">
              <w:rPr>
                <w:rFonts w:ascii="Century Gothic" w:hAnsi="Century Gothic"/>
                <w:sz w:val="18"/>
                <w:szCs w:val="18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Zabezpieczenie przed przypadkową zmianą parametrów wentylacji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8</w:t>
            </w:r>
            <w:r w:rsidR="00506FED" w:rsidRPr="00026116">
              <w:rPr>
                <w:rFonts w:ascii="Century Gothic" w:hAnsi="Century Gothic"/>
                <w:sz w:val="18"/>
                <w:szCs w:val="18"/>
              </w:rPr>
              <w:t>7</w:t>
            </w:r>
            <w:r w:rsidRPr="00026116">
              <w:rPr>
                <w:rFonts w:ascii="Century Gothic" w:hAnsi="Century Gothic"/>
                <w:sz w:val="18"/>
                <w:szCs w:val="18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System nebulizacji sterowanej z pozycji ekranu respiratora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356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8</w:t>
            </w:r>
            <w:r w:rsidR="00506FED" w:rsidRPr="00026116">
              <w:rPr>
                <w:rFonts w:ascii="Century Gothic" w:hAnsi="Century Gothic"/>
                <w:sz w:val="18"/>
                <w:szCs w:val="18"/>
              </w:rPr>
              <w:t>8</w:t>
            </w:r>
            <w:r w:rsidRPr="00026116">
              <w:rPr>
                <w:rFonts w:ascii="Century Gothic" w:hAnsi="Century Gothic"/>
                <w:sz w:val="18"/>
                <w:szCs w:val="18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 xml:space="preserve">Możliwość rozbudowy o pomiar EtCO2, VtCO2, VCO2  - pomiar w strumieniu głównym, wyświetlanie krzywej 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</w:rPr>
              <w:t>kapnograficznej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</w:rPr>
              <w:t xml:space="preserve"> na ekranie respiratora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883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506FED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89</w:t>
            </w:r>
            <w:r w:rsidR="001E5AFB" w:rsidRPr="00026116">
              <w:rPr>
                <w:rFonts w:ascii="Century Gothic" w:hAnsi="Century Gothic"/>
                <w:sz w:val="18"/>
                <w:szCs w:val="18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proofErr w:type="spellStart"/>
            <w:r w:rsidRPr="00026116">
              <w:rPr>
                <w:rFonts w:ascii="Century Gothic" w:hAnsi="Century Gothic"/>
                <w:sz w:val="18"/>
                <w:szCs w:val="18"/>
              </w:rPr>
              <w:t>Autotest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</w:rPr>
              <w:t xml:space="preserve"> aparatu sprawdzający poprawność działania elementów pomiarowych, szczelność i podatność układu oddechowego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 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74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9</w:t>
            </w:r>
            <w:r w:rsidR="00506FED" w:rsidRPr="00026116">
              <w:rPr>
                <w:rFonts w:ascii="Century Gothic" w:hAnsi="Century Gothic"/>
                <w:sz w:val="18"/>
                <w:szCs w:val="18"/>
              </w:rPr>
              <w:t>0</w:t>
            </w:r>
            <w:r w:rsidRPr="00026116">
              <w:rPr>
                <w:rFonts w:ascii="Century Gothic" w:hAnsi="Century Gothic"/>
                <w:sz w:val="18"/>
                <w:szCs w:val="18"/>
              </w:rPr>
              <w:t>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Układ pomiarowy przepływu umieszczony w obrębie obudowy respiratora (elektroniczny – wielorazowego użytku – możliwość wyjęcia zastawki wydechowej wraz z czujnikiem przepływu bez użycia narzędzi oraz możliwość czyszczenia zastawki wydechowej wraz z czujnikiem przepływu w myjce automatycznej)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740"/>
        </w:trPr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9</w:t>
            </w:r>
            <w:r w:rsidR="00506FED" w:rsidRPr="00026116">
              <w:rPr>
                <w:rFonts w:ascii="Century Gothic" w:hAnsi="Century Gothic"/>
                <w:sz w:val="18"/>
                <w:szCs w:val="18"/>
              </w:rPr>
              <w:t>1</w:t>
            </w:r>
            <w:r w:rsidRPr="00026116">
              <w:rPr>
                <w:rFonts w:ascii="Century Gothic" w:hAnsi="Century Gothic"/>
                <w:sz w:val="18"/>
                <w:szCs w:val="18"/>
              </w:rPr>
              <w:t>.</w:t>
            </w:r>
          </w:p>
        </w:tc>
        <w:tc>
          <w:tcPr>
            <w:tcW w:w="609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Nawilżacz wraz z systemem mocowania do respiratora</w:t>
            </w:r>
          </w:p>
        </w:tc>
        <w:tc>
          <w:tcPr>
            <w:tcW w:w="2835" w:type="dxa"/>
            <w:tcBorders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7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lastRenderedPageBreak/>
              <w:t>9</w:t>
            </w:r>
            <w:r w:rsidR="00506FED" w:rsidRPr="00026116">
              <w:rPr>
                <w:rFonts w:ascii="Century Gothic" w:hAnsi="Century Gothic"/>
                <w:sz w:val="18"/>
                <w:szCs w:val="18"/>
              </w:rPr>
              <w:t>2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Możliwość stosowania jednorazowych układów oddechowych od różnych producentów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  <w:tr w:rsidR="001E5AFB" w:rsidRPr="00026116" w:rsidTr="001E5AF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trHeight w:val="700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506FED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93</w:t>
            </w:r>
            <w:r w:rsidR="001E5AFB" w:rsidRPr="00026116">
              <w:rPr>
                <w:rFonts w:ascii="Century Gothic" w:hAnsi="Century Gothic"/>
                <w:sz w:val="18"/>
                <w:szCs w:val="18"/>
              </w:rPr>
              <w:t>.</w:t>
            </w:r>
          </w:p>
        </w:tc>
        <w:tc>
          <w:tcPr>
            <w:tcW w:w="609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Płucko testowe wielokrotnego użytku na każdy aparat  (</w:t>
            </w:r>
            <w:proofErr w:type="spellStart"/>
            <w:r w:rsidRPr="00026116">
              <w:rPr>
                <w:rFonts w:ascii="Century Gothic" w:hAnsi="Century Gothic"/>
                <w:sz w:val="18"/>
                <w:szCs w:val="18"/>
              </w:rPr>
              <w:t>autoklawowalne</w:t>
            </w:r>
            <w:proofErr w:type="spellEnd"/>
            <w:r w:rsidRPr="00026116">
              <w:rPr>
                <w:rFonts w:ascii="Century Gothic" w:hAnsi="Century Gothic"/>
                <w:sz w:val="18"/>
                <w:szCs w:val="18"/>
              </w:rPr>
              <w:t>)</w:t>
            </w:r>
          </w:p>
        </w:tc>
        <w:tc>
          <w:tcPr>
            <w:tcW w:w="2835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E5AFB" w:rsidRPr="00026116" w:rsidRDefault="001E5AFB" w:rsidP="00026116">
            <w:pPr>
              <w:pStyle w:val="Standard"/>
              <w:spacing w:line="360" w:lineRule="auto"/>
              <w:jc w:val="center"/>
              <w:rPr>
                <w:rFonts w:ascii="Century Gothic" w:hAnsi="Century Gothic"/>
                <w:sz w:val="18"/>
                <w:szCs w:val="18"/>
              </w:rPr>
            </w:pPr>
            <w:r w:rsidRPr="00026116">
              <w:rPr>
                <w:rFonts w:ascii="Century Gothic" w:hAnsi="Century Gothic"/>
                <w:sz w:val="18"/>
                <w:szCs w:val="18"/>
              </w:rPr>
              <w:t>TAK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E5AFB" w:rsidRPr="00026116" w:rsidRDefault="001E5AFB" w:rsidP="00026116">
            <w:pPr>
              <w:pStyle w:val="Standard"/>
              <w:spacing w:line="360" w:lineRule="auto"/>
              <w:rPr>
                <w:rFonts w:ascii="Century Gothic" w:hAnsi="Century Gothic"/>
                <w:sz w:val="18"/>
                <w:szCs w:val="18"/>
              </w:rPr>
            </w:pPr>
          </w:p>
        </w:tc>
      </w:tr>
    </w:tbl>
    <w:p w:rsidR="00587924" w:rsidRPr="00026116" w:rsidRDefault="00587924" w:rsidP="00026116">
      <w:pPr>
        <w:pStyle w:val="Standard"/>
        <w:spacing w:line="360" w:lineRule="auto"/>
        <w:rPr>
          <w:rFonts w:ascii="Century Gothic" w:hAnsi="Century Gothic"/>
          <w:sz w:val="18"/>
          <w:szCs w:val="18"/>
        </w:rPr>
      </w:pPr>
    </w:p>
    <w:p w:rsidR="00587924" w:rsidRPr="00026116" w:rsidRDefault="00587924" w:rsidP="00026116">
      <w:pPr>
        <w:rPr>
          <w:rFonts w:ascii="Century Gothic" w:hAnsi="Century Gothic" w:cs="Tahoma"/>
          <w:sz w:val="18"/>
          <w:szCs w:val="18"/>
        </w:rPr>
      </w:pPr>
    </w:p>
    <w:p w:rsidR="00587924" w:rsidRPr="00026116" w:rsidRDefault="00587924" w:rsidP="00026116">
      <w:pPr>
        <w:rPr>
          <w:rFonts w:ascii="Century Gothic" w:hAnsi="Century Gothic" w:cs="Tahoma"/>
          <w:sz w:val="18"/>
          <w:szCs w:val="18"/>
        </w:rPr>
      </w:pPr>
      <w:r w:rsidRPr="00026116">
        <w:rPr>
          <w:rFonts w:ascii="Century Gothic" w:hAnsi="Century Gothic" w:cs="Tahoma"/>
          <w:sz w:val="18"/>
          <w:szCs w:val="18"/>
        </w:rPr>
        <w:t>Wykonawca oświadcza, że oferowany powyżej wyspecjalizowany sprzęt medyczny jest fabrycznie nowy, nie używany, nie był przedmiotem wystaw i prezentacji, a po dostarczeniu i zamontowaniu przez Wykonawcę będzie gotowy do pracy zgodnie z przeznaczeniem bez dodatkowych zakupów i dostaw.</w:t>
      </w:r>
    </w:p>
    <w:p w:rsidR="00587924" w:rsidRPr="00026116" w:rsidRDefault="00587924" w:rsidP="00026116">
      <w:pPr>
        <w:shd w:val="clear" w:color="auto" w:fill="FFFFFF"/>
        <w:rPr>
          <w:rFonts w:ascii="Century Gothic" w:hAnsi="Century Gothic" w:cs="Tahoma"/>
          <w:color w:val="000000"/>
          <w:sz w:val="18"/>
          <w:szCs w:val="18"/>
        </w:rPr>
      </w:pPr>
    </w:p>
    <w:p w:rsidR="00587924" w:rsidRPr="00026116" w:rsidRDefault="00587924" w:rsidP="00026116">
      <w:pPr>
        <w:shd w:val="clear" w:color="auto" w:fill="FFFFFF"/>
        <w:rPr>
          <w:rFonts w:ascii="Century Gothic" w:hAnsi="Century Gothic" w:cs="Tahoma"/>
          <w:color w:val="000000"/>
          <w:sz w:val="18"/>
          <w:szCs w:val="18"/>
        </w:rPr>
      </w:pPr>
      <w:r w:rsidRPr="00026116">
        <w:rPr>
          <w:rFonts w:ascii="Century Gothic" w:hAnsi="Century Gothic" w:cs="Tahoma"/>
          <w:color w:val="000000"/>
          <w:sz w:val="18"/>
          <w:szCs w:val="18"/>
        </w:rPr>
        <w:t>Wykonawca zobowiązany jest do podania parametrów w jednostkach wskazanych w niniejszej tabelce.</w:t>
      </w:r>
    </w:p>
    <w:p w:rsidR="00587924" w:rsidRPr="00026116" w:rsidRDefault="00587924" w:rsidP="00026116">
      <w:pPr>
        <w:shd w:val="clear" w:color="auto" w:fill="FFFFFF"/>
        <w:rPr>
          <w:rFonts w:ascii="Century Gothic" w:hAnsi="Century Gothic" w:cs="Tahoma"/>
          <w:color w:val="000000"/>
          <w:sz w:val="18"/>
          <w:szCs w:val="18"/>
        </w:rPr>
      </w:pPr>
    </w:p>
    <w:p w:rsidR="00587924" w:rsidRPr="00026116" w:rsidRDefault="00587924" w:rsidP="00026116">
      <w:pPr>
        <w:shd w:val="clear" w:color="auto" w:fill="FFFFFF"/>
        <w:rPr>
          <w:rFonts w:ascii="Century Gothic" w:hAnsi="Century Gothic" w:cs="Tahoma"/>
          <w:b/>
          <w:bCs/>
          <w:color w:val="000000"/>
          <w:sz w:val="18"/>
          <w:szCs w:val="18"/>
        </w:rPr>
      </w:pPr>
      <w:r w:rsidRPr="00026116">
        <w:rPr>
          <w:rFonts w:ascii="Century Gothic" w:hAnsi="Century Gothic" w:cs="Tahoma"/>
          <w:color w:val="000000"/>
          <w:sz w:val="18"/>
          <w:szCs w:val="18"/>
        </w:rPr>
        <w:t xml:space="preserve">W   przypadku   pojedynczych   parametrów,   nie   występujących   w   materiałach   firmowych,   Zamawiający   dopuszcza   oświadczenie   producenta </w:t>
      </w:r>
      <w:r w:rsidRPr="00026116">
        <w:rPr>
          <w:rFonts w:ascii="Century Gothic" w:hAnsi="Century Gothic" w:cs="Tahoma"/>
          <w:b/>
          <w:bCs/>
          <w:i/>
          <w:iCs/>
          <w:color w:val="000000"/>
          <w:sz w:val="18"/>
          <w:szCs w:val="18"/>
        </w:rPr>
        <w:t>lub autoryzowanego dystrybutora oferowanego urządzenia</w:t>
      </w:r>
      <w:r w:rsidRPr="00026116">
        <w:rPr>
          <w:rFonts w:ascii="Century Gothic" w:hAnsi="Century Gothic" w:cs="Tahoma"/>
          <w:b/>
          <w:bCs/>
          <w:color w:val="000000"/>
          <w:sz w:val="18"/>
          <w:szCs w:val="18"/>
        </w:rPr>
        <w:t>.</w:t>
      </w:r>
    </w:p>
    <w:p w:rsidR="00587924" w:rsidRPr="00026116" w:rsidRDefault="00587924" w:rsidP="00026116">
      <w:pPr>
        <w:shd w:val="clear" w:color="auto" w:fill="FFFFFF"/>
        <w:rPr>
          <w:rFonts w:ascii="Century Gothic" w:hAnsi="Century Gothic" w:cs="Tahoma"/>
          <w:b/>
          <w:bCs/>
          <w:sz w:val="18"/>
          <w:szCs w:val="18"/>
        </w:rPr>
      </w:pPr>
    </w:p>
    <w:p w:rsidR="00587924" w:rsidRPr="00026116" w:rsidRDefault="00587924" w:rsidP="00026116">
      <w:pPr>
        <w:shd w:val="clear" w:color="auto" w:fill="FFFFFF"/>
        <w:rPr>
          <w:rFonts w:ascii="Century Gothic" w:hAnsi="Century Gothic" w:cs="Tahoma"/>
          <w:color w:val="000000"/>
          <w:sz w:val="18"/>
          <w:szCs w:val="18"/>
        </w:rPr>
      </w:pPr>
      <w:r w:rsidRPr="00026116">
        <w:rPr>
          <w:rFonts w:ascii="Century Gothic" w:hAnsi="Century Gothic" w:cs="Tahoma"/>
          <w:color w:val="000000"/>
          <w:sz w:val="18"/>
          <w:szCs w:val="18"/>
        </w:rPr>
        <w:t>Zamawiający zastrzega sobie prawo weryfikacji deklarowanych parametrów z użyciem wszelkich dostępnych źródeł, w tym zapytanie bezpośrednio u</w:t>
      </w:r>
      <w:r w:rsidRPr="00026116">
        <w:rPr>
          <w:rFonts w:ascii="Century Gothic" w:hAnsi="Century Gothic" w:cs="Tahoma"/>
          <w:sz w:val="18"/>
          <w:szCs w:val="18"/>
        </w:rPr>
        <w:t xml:space="preserve"> </w:t>
      </w:r>
      <w:r w:rsidRPr="00026116">
        <w:rPr>
          <w:rFonts w:ascii="Century Gothic" w:hAnsi="Century Gothic" w:cs="Tahoma"/>
          <w:color w:val="000000"/>
          <w:sz w:val="18"/>
          <w:szCs w:val="18"/>
        </w:rPr>
        <w:t>producenta sprzętu.</w:t>
      </w:r>
    </w:p>
    <w:p w:rsidR="00587924" w:rsidRPr="00026116" w:rsidRDefault="00587924" w:rsidP="00026116">
      <w:pPr>
        <w:pStyle w:val="Akapitzlist"/>
        <w:spacing w:after="0" w:line="360" w:lineRule="auto"/>
        <w:jc w:val="both"/>
        <w:rPr>
          <w:rFonts w:ascii="Century Gothic" w:hAnsi="Century Gothic" w:cs="Tahoma"/>
          <w:b/>
          <w:bCs/>
          <w:sz w:val="18"/>
          <w:szCs w:val="18"/>
        </w:rPr>
      </w:pPr>
    </w:p>
    <w:p w:rsidR="00587924" w:rsidRDefault="00587924" w:rsidP="00026116">
      <w:pPr>
        <w:pStyle w:val="Akapitzlist"/>
        <w:spacing w:after="0" w:line="360" w:lineRule="auto"/>
        <w:jc w:val="both"/>
        <w:rPr>
          <w:rFonts w:ascii="Century Gothic" w:hAnsi="Century Gothic" w:cs="Tahoma"/>
          <w:b/>
          <w:bCs/>
          <w:sz w:val="18"/>
          <w:szCs w:val="18"/>
        </w:rPr>
      </w:pPr>
    </w:p>
    <w:p w:rsidR="00026116" w:rsidRDefault="00026116" w:rsidP="00026116">
      <w:pPr>
        <w:pStyle w:val="Akapitzlist"/>
        <w:spacing w:after="0" w:line="360" w:lineRule="auto"/>
        <w:jc w:val="both"/>
        <w:rPr>
          <w:rFonts w:ascii="Century Gothic" w:hAnsi="Century Gothic" w:cs="Tahoma"/>
          <w:b/>
          <w:bCs/>
          <w:sz w:val="18"/>
          <w:szCs w:val="18"/>
        </w:rPr>
      </w:pPr>
    </w:p>
    <w:p w:rsidR="00026116" w:rsidRDefault="00026116" w:rsidP="00026116">
      <w:pPr>
        <w:pStyle w:val="Akapitzlist"/>
        <w:spacing w:after="0" w:line="360" w:lineRule="auto"/>
        <w:jc w:val="both"/>
        <w:rPr>
          <w:rFonts w:ascii="Century Gothic" w:hAnsi="Century Gothic" w:cs="Tahoma"/>
          <w:b/>
          <w:bCs/>
          <w:sz w:val="18"/>
          <w:szCs w:val="18"/>
        </w:rPr>
      </w:pPr>
    </w:p>
    <w:p w:rsidR="00026116" w:rsidRDefault="00026116" w:rsidP="00026116">
      <w:pPr>
        <w:pStyle w:val="Akapitzlist"/>
        <w:spacing w:after="0" w:line="360" w:lineRule="auto"/>
        <w:jc w:val="both"/>
        <w:rPr>
          <w:rFonts w:ascii="Century Gothic" w:hAnsi="Century Gothic" w:cs="Tahoma"/>
          <w:b/>
          <w:bCs/>
          <w:sz w:val="18"/>
          <w:szCs w:val="18"/>
        </w:rPr>
      </w:pPr>
    </w:p>
    <w:p w:rsidR="00026116" w:rsidRDefault="00026116" w:rsidP="00026116">
      <w:pPr>
        <w:pStyle w:val="Akapitzlist"/>
        <w:spacing w:after="0" w:line="360" w:lineRule="auto"/>
        <w:jc w:val="both"/>
        <w:rPr>
          <w:rFonts w:ascii="Century Gothic" w:hAnsi="Century Gothic" w:cs="Tahoma"/>
          <w:b/>
          <w:bCs/>
          <w:sz w:val="18"/>
          <w:szCs w:val="18"/>
        </w:rPr>
      </w:pPr>
    </w:p>
    <w:p w:rsidR="00026116" w:rsidRDefault="00026116" w:rsidP="00026116">
      <w:pPr>
        <w:pStyle w:val="Akapitzlist"/>
        <w:spacing w:after="0" w:line="360" w:lineRule="auto"/>
        <w:jc w:val="both"/>
        <w:rPr>
          <w:rFonts w:ascii="Century Gothic" w:hAnsi="Century Gothic" w:cs="Tahoma"/>
          <w:b/>
          <w:bCs/>
          <w:sz w:val="18"/>
          <w:szCs w:val="18"/>
        </w:rPr>
      </w:pPr>
    </w:p>
    <w:p w:rsidR="00026116" w:rsidRDefault="00026116" w:rsidP="00026116">
      <w:pPr>
        <w:pStyle w:val="Akapitzlist"/>
        <w:spacing w:after="0" w:line="360" w:lineRule="auto"/>
        <w:jc w:val="both"/>
        <w:rPr>
          <w:rFonts w:ascii="Century Gothic" w:hAnsi="Century Gothic" w:cs="Tahoma"/>
          <w:b/>
          <w:bCs/>
          <w:sz w:val="18"/>
          <w:szCs w:val="18"/>
        </w:rPr>
      </w:pPr>
    </w:p>
    <w:p w:rsidR="00026116" w:rsidRDefault="00026116" w:rsidP="00026116">
      <w:pPr>
        <w:pStyle w:val="Akapitzlist"/>
        <w:spacing w:after="0" w:line="360" w:lineRule="auto"/>
        <w:jc w:val="both"/>
        <w:rPr>
          <w:rFonts w:ascii="Century Gothic" w:hAnsi="Century Gothic" w:cs="Tahoma"/>
          <w:b/>
          <w:bCs/>
          <w:sz w:val="18"/>
          <w:szCs w:val="18"/>
        </w:rPr>
      </w:pPr>
    </w:p>
    <w:p w:rsidR="00026116" w:rsidRPr="00026116" w:rsidRDefault="00026116" w:rsidP="00026116">
      <w:pPr>
        <w:pStyle w:val="Akapitzlist"/>
        <w:spacing w:after="0" w:line="360" w:lineRule="auto"/>
        <w:jc w:val="both"/>
        <w:rPr>
          <w:rFonts w:ascii="Century Gothic" w:hAnsi="Century Gothic" w:cs="Tahoma"/>
          <w:b/>
          <w:bCs/>
          <w:sz w:val="18"/>
          <w:szCs w:val="18"/>
        </w:rPr>
      </w:pPr>
    </w:p>
    <w:p w:rsidR="00587924" w:rsidRPr="00026116" w:rsidRDefault="00587924" w:rsidP="00026116">
      <w:pPr>
        <w:pStyle w:val="Akapitzlist"/>
        <w:spacing w:after="0" w:line="360" w:lineRule="auto"/>
        <w:jc w:val="both"/>
        <w:rPr>
          <w:rFonts w:ascii="Century Gothic" w:hAnsi="Century Gothic" w:cs="Tahoma"/>
          <w:b/>
          <w:bCs/>
          <w:sz w:val="18"/>
          <w:szCs w:val="18"/>
        </w:rPr>
      </w:pPr>
    </w:p>
    <w:p w:rsidR="00587924" w:rsidRPr="00026116" w:rsidRDefault="00587924" w:rsidP="00026116">
      <w:pPr>
        <w:pStyle w:val="Akapitzlist"/>
        <w:spacing w:after="0" w:line="360" w:lineRule="auto"/>
        <w:jc w:val="both"/>
        <w:rPr>
          <w:rFonts w:ascii="Century Gothic" w:hAnsi="Century Gothic" w:cs="Times New Roman"/>
          <w:b/>
          <w:bCs/>
          <w:sz w:val="18"/>
          <w:szCs w:val="18"/>
        </w:rPr>
      </w:pPr>
      <w:r w:rsidRPr="00026116">
        <w:rPr>
          <w:rFonts w:ascii="Century Gothic" w:hAnsi="Century Gothic" w:cs="Times New Roman"/>
          <w:b/>
          <w:bCs/>
          <w:sz w:val="18"/>
          <w:szCs w:val="18"/>
        </w:rPr>
        <w:lastRenderedPageBreak/>
        <w:t>Część B: FORMULARZ CENOWY</w:t>
      </w:r>
    </w:p>
    <w:p w:rsidR="00587924" w:rsidRPr="00026116" w:rsidRDefault="00587924" w:rsidP="00026116">
      <w:pPr>
        <w:pStyle w:val="Akapitzlist"/>
        <w:spacing w:after="0" w:line="360" w:lineRule="auto"/>
        <w:jc w:val="both"/>
        <w:rPr>
          <w:rFonts w:ascii="Century Gothic" w:hAnsi="Century Gothic" w:cs="Times New Roman"/>
          <w:b/>
          <w:bCs/>
          <w:sz w:val="18"/>
          <w:szCs w:val="18"/>
        </w:rPr>
      </w:pPr>
    </w:p>
    <w:tbl>
      <w:tblPr>
        <w:tblW w:w="14535" w:type="dxa"/>
        <w:tblInd w:w="-11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702"/>
        <w:gridCol w:w="4618"/>
        <w:gridCol w:w="1419"/>
        <w:gridCol w:w="1559"/>
        <w:gridCol w:w="1418"/>
        <w:gridCol w:w="1417"/>
        <w:gridCol w:w="1701"/>
        <w:gridCol w:w="1701"/>
      </w:tblGrid>
      <w:tr w:rsidR="00587924" w:rsidRPr="00026116" w:rsidTr="00587924">
        <w:trPr>
          <w:cantSplit/>
          <w:trHeight w:val="1022"/>
        </w:trPr>
        <w:tc>
          <w:tcPr>
            <w:tcW w:w="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4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Nazwa sprzętu</w:t>
            </w:r>
          </w:p>
        </w:tc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Ilość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Cena jedn. netto PLN</w:t>
            </w:r>
          </w:p>
        </w:tc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 xml:space="preserve">Wartość netto </w:t>
            </w:r>
          </w:p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w PLN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Podatek</w:t>
            </w:r>
          </w:p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w %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 xml:space="preserve">Wartość brutto </w:t>
            </w:r>
          </w:p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w PLN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Cena jednostkowa brutto</w:t>
            </w:r>
          </w:p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b/>
                <w:bCs/>
                <w:sz w:val="18"/>
                <w:szCs w:val="18"/>
              </w:rPr>
              <w:t>w PLN</w:t>
            </w:r>
          </w:p>
        </w:tc>
      </w:tr>
      <w:tr w:rsidR="00587924" w:rsidRPr="00026116" w:rsidTr="00587924">
        <w:trPr>
          <w:cantSplit/>
        </w:trPr>
        <w:tc>
          <w:tcPr>
            <w:tcW w:w="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sz w:val="18"/>
                <w:szCs w:val="18"/>
              </w:rPr>
              <w:t>1.</w:t>
            </w:r>
          </w:p>
        </w:tc>
        <w:tc>
          <w:tcPr>
            <w:tcW w:w="4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sz w:val="18"/>
                <w:szCs w:val="18"/>
              </w:rPr>
            </w:pPr>
          </w:p>
          <w:p w:rsidR="00530394" w:rsidRPr="00026116" w:rsidRDefault="0053039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sz w:val="18"/>
                <w:szCs w:val="18"/>
              </w:rPr>
              <w:t>Respirator</w:t>
            </w:r>
          </w:p>
          <w:p w:rsidR="00587924" w:rsidRPr="00026116" w:rsidRDefault="0053039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sz w:val="18"/>
                <w:szCs w:val="18"/>
              </w:rPr>
              <w:t xml:space="preserve"> </w:t>
            </w:r>
            <w:r w:rsidR="00587924" w:rsidRPr="00026116">
              <w:rPr>
                <w:rFonts w:ascii="Century Gothic" w:hAnsi="Century Gothic" w:cs="Times New Roman"/>
                <w:sz w:val="18"/>
                <w:szCs w:val="18"/>
              </w:rPr>
              <w:t>(zgodny z parametrami określonymi w części A )</w:t>
            </w:r>
          </w:p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sz w:val="18"/>
                <w:szCs w:val="18"/>
              </w:rPr>
            </w:pPr>
          </w:p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sz w:val="18"/>
                <w:szCs w:val="18"/>
              </w:rPr>
              <w:t>…………………………………..</w:t>
            </w:r>
          </w:p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sz w:val="18"/>
                <w:szCs w:val="18"/>
              </w:rPr>
              <w:t>(nazwa, model)</w:t>
            </w:r>
          </w:p>
        </w:tc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sz w:val="18"/>
                <w:szCs w:val="18"/>
              </w:rPr>
            </w:pPr>
          </w:p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</w:p>
          <w:p w:rsidR="00587924" w:rsidRPr="00026116" w:rsidRDefault="00530394" w:rsidP="00026116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  <w:r w:rsidRPr="00026116">
              <w:rPr>
                <w:rFonts w:ascii="Century Gothic" w:hAnsi="Century Gothic" w:cs="Times New Roman"/>
                <w:sz w:val="18"/>
                <w:szCs w:val="18"/>
              </w:rPr>
              <w:t>2</w:t>
            </w:r>
          </w:p>
          <w:p w:rsidR="00587924" w:rsidRPr="00026116" w:rsidRDefault="00530394" w:rsidP="00026116">
            <w:pPr>
              <w:pStyle w:val="Akapitzlist"/>
              <w:spacing w:after="0" w:line="360" w:lineRule="auto"/>
              <w:ind w:left="0"/>
              <w:jc w:val="center"/>
              <w:rPr>
                <w:rFonts w:ascii="Century Gothic" w:hAnsi="Century Gothic" w:cs="Times New Roman"/>
                <w:sz w:val="18"/>
                <w:szCs w:val="18"/>
              </w:rPr>
            </w:pPr>
            <w:proofErr w:type="spellStart"/>
            <w:r w:rsidRPr="00026116">
              <w:rPr>
                <w:rFonts w:ascii="Century Gothic" w:hAnsi="Century Gothic" w:cs="Times New Roman"/>
                <w:sz w:val="18"/>
                <w:szCs w:val="18"/>
              </w:rPr>
              <w:t>szt</w:t>
            </w:r>
            <w:bookmarkStart w:id="0" w:name="_GoBack"/>
            <w:bookmarkEnd w:id="0"/>
            <w:proofErr w:type="spellEnd"/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87924" w:rsidRPr="00026116" w:rsidRDefault="00587924" w:rsidP="00026116">
            <w:pPr>
              <w:pStyle w:val="Akapitzlist"/>
              <w:spacing w:after="0" w:line="360" w:lineRule="auto"/>
              <w:ind w:left="0"/>
              <w:jc w:val="both"/>
              <w:rPr>
                <w:rFonts w:ascii="Century Gothic" w:hAnsi="Century Gothic" w:cs="Times New Roman"/>
                <w:sz w:val="18"/>
                <w:szCs w:val="18"/>
              </w:rPr>
            </w:pPr>
          </w:p>
        </w:tc>
      </w:tr>
    </w:tbl>
    <w:p w:rsidR="00587924" w:rsidRPr="00026116" w:rsidRDefault="00587924" w:rsidP="00026116">
      <w:pPr>
        <w:tabs>
          <w:tab w:val="left" w:pos="1985"/>
          <w:tab w:val="left" w:pos="4820"/>
          <w:tab w:val="left" w:pos="5387"/>
          <w:tab w:val="left" w:pos="8931"/>
        </w:tabs>
        <w:rPr>
          <w:rFonts w:ascii="Century Gothic" w:hAnsi="Century Gothic"/>
          <w:b/>
          <w:sz w:val="18"/>
          <w:szCs w:val="18"/>
        </w:rPr>
      </w:pPr>
    </w:p>
    <w:p w:rsidR="00587924" w:rsidRPr="00026116" w:rsidRDefault="00587924" w:rsidP="00026116">
      <w:pPr>
        <w:tabs>
          <w:tab w:val="left" w:pos="1985"/>
          <w:tab w:val="left" w:pos="4820"/>
          <w:tab w:val="left" w:pos="5387"/>
          <w:tab w:val="left" w:pos="8931"/>
        </w:tabs>
        <w:rPr>
          <w:rFonts w:ascii="Century Gothic" w:hAnsi="Century Gothic"/>
          <w:b/>
          <w:sz w:val="18"/>
          <w:szCs w:val="18"/>
        </w:rPr>
      </w:pPr>
    </w:p>
    <w:p w:rsidR="00587924" w:rsidRPr="00026116" w:rsidRDefault="00587924" w:rsidP="00026116">
      <w:pPr>
        <w:tabs>
          <w:tab w:val="left" w:pos="1985"/>
          <w:tab w:val="left" w:pos="4820"/>
          <w:tab w:val="left" w:pos="5387"/>
          <w:tab w:val="left" w:pos="8931"/>
        </w:tabs>
        <w:rPr>
          <w:rFonts w:ascii="Century Gothic" w:hAnsi="Century Gothic"/>
          <w:b/>
          <w:sz w:val="18"/>
          <w:szCs w:val="18"/>
        </w:rPr>
      </w:pPr>
      <w:r w:rsidRPr="00026116">
        <w:rPr>
          <w:rFonts w:ascii="Century Gothic" w:hAnsi="Century Gothic"/>
          <w:b/>
          <w:sz w:val="18"/>
          <w:szCs w:val="18"/>
        </w:rPr>
        <w:t xml:space="preserve">Wartość: </w:t>
      </w:r>
    </w:p>
    <w:p w:rsidR="00587924" w:rsidRPr="00026116" w:rsidRDefault="00587924" w:rsidP="00026116">
      <w:pPr>
        <w:tabs>
          <w:tab w:val="left" w:pos="1985"/>
          <w:tab w:val="left" w:pos="4820"/>
          <w:tab w:val="left" w:pos="5387"/>
          <w:tab w:val="left" w:pos="8931"/>
        </w:tabs>
        <w:rPr>
          <w:rFonts w:ascii="Century Gothic" w:hAnsi="Century Gothic"/>
          <w:sz w:val="18"/>
          <w:szCs w:val="18"/>
        </w:rPr>
      </w:pPr>
      <w:r w:rsidRPr="00026116">
        <w:rPr>
          <w:rFonts w:ascii="Century Gothic" w:hAnsi="Century Gothic"/>
          <w:b/>
          <w:sz w:val="18"/>
          <w:szCs w:val="18"/>
        </w:rPr>
        <w:t>netto:</w:t>
      </w:r>
      <w:r w:rsidRPr="00026116">
        <w:rPr>
          <w:rFonts w:ascii="Century Gothic" w:hAnsi="Century Gothic"/>
          <w:sz w:val="18"/>
          <w:szCs w:val="18"/>
        </w:rPr>
        <w:t xml:space="preserve">  ……………………PLN          (słownie: …………………………………………………………………………………….)</w:t>
      </w:r>
    </w:p>
    <w:p w:rsidR="00587924" w:rsidRPr="00026116" w:rsidRDefault="00587924" w:rsidP="00026116">
      <w:pPr>
        <w:tabs>
          <w:tab w:val="left" w:pos="1985"/>
          <w:tab w:val="left" w:pos="4820"/>
          <w:tab w:val="left" w:pos="5387"/>
          <w:tab w:val="left" w:pos="8931"/>
        </w:tabs>
        <w:rPr>
          <w:rFonts w:ascii="Century Gothic" w:hAnsi="Century Gothic"/>
          <w:sz w:val="18"/>
          <w:szCs w:val="18"/>
        </w:rPr>
      </w:pPr>
      <w:r w:rsidRPr="00026116">
        <w:rPr>
          <w:rFonts w:ascii="Century Gothic" w:hAnsi="Century Gothic"/>
          <w:b/>
          <w:sz w:val="18"/>
          <w:szCs w:val="18"/>
        </w:rPr>
        <w:t>brutto:</w:t>
      </w:r>
      <w:r w:rsidRPr="00026116">
        <w:rPr>
          <w:rFonts w:ascii="Century Gothic" w:hAnsi="Century Gothic"/>
          <w:sz w:val="18"/>
          <w:szCs w:val="18"/>
        </w:rPr>
        <w:t xml:space="preserve"> ……………………PLN          (słownie: ……………………………………………………………………………………..)  </w:t>
      </w:r>
    </w:p>
    <w:p w:rsidR="00587924" w:rsidRPr="00026116" w:rsidRDefault="00587924" w:rsidP="00026116">
      <w:pPr>
        <w:tabs>
          <w:tab w:val="left" w:pos="1985"/>
          <w:tab w:val="left" w:pos="4820"/>
          <w:tab w:val="left" w:pos="5387"/>
          <w:tab w:val="left" w:pos="8931"/>
        </w:tabs>
        <w:rPr>
          <w:rFonts w:ascii="Century Gothic" w:hAnsi="Century Gothic"/>
          <w:sz w:val="18"/>
          <w:szCs w:val="18"/>
          <w:u w:val="dotted"/>
        </w:rPr>
      </w:pPr>
    </w:p>
    <w:p w:rsidR="00587924" w:rsidRPr="00026116" w:rsidRDefault="00587924" w:rsidP="00026116">
      <w:pPr>
        <w:tabs>
          <w:tab w:val="left" w:pos="1985"/>
          <w:tab w:val="left" w:pos="4820"/>
          <w:tab w:val="left" w:pos="5387"/>
          <w:tab w:val="left" w:pos="8931"/>
        </w:tabs>
        <w:rPr>
          <w:rFonts w:ascii="Century Gothic" w:hAnsi="Century Gothic"/>
          <w:sz w:val="18"/>
          <w:szCs w:val="18"/>
          <w:u w:val="dotted"/>
        </w:rPr>
      </w:pPr>
    </w:p>
    <w:p w:rsidR="00587924" w:rsidRPr="00026116" w:rsidRDefault="00587924" w:rsidP="00026116">
      <w:pPr>
        <w:tabs>
          <w:tab w:val="left" w:pos="1985"/>
          <w:tab w:val="left" w:pos="4820"/>
          <w:tab w:val="left" w:pos="5387"/>
          <w:tab w:val="left" w:pos="8931"/>
        </w:tabs>
        <w:rPr>
          <w:rFonts w:ascii="Century Gothic" w:hAnsi="Century Gothic"/>
          <w:sz w:val="18"/>
          <w:szCs w:val="18"/>
        </w:rPr>
      </w:pPr>
      <w:r w:rsidRPr="00026116">
        <w:rPr>
          <w:rFonts w:ascii="Century Gothic" w:hAnsi="Century Gothic"/>
          <w:sz w:val="18"/>
          <w:szCs w:val="18"/>
          <w:u w:val="dotted"/>
        </w:rPr>
        <w:tab/>
      </w:r>
      <w:r w:rsidRPr="00026116">
        <w:rPr>
          <w:rFonts w:ascii="Century Gothic" w:hAnsi="Century Gothic"/>
          <w:sz w:val="18"/>
          <w:szCs w:val="18"/>
        </w:rPr>
        <w:t xml:space="preserve"> dnia </w:t>
      </w:r>
      <w:r w:rsidRPr="00026116">
        <w:rPr>
          <w:rFonts w:ascii="Century Gothic" w:hAnsi="Century Gothic"/>
          <w:sz w:val="18"/>
          <w:szCs w:val="18"/>
          <w:u w:val="dotted"/>
        </w:rPr>
        <w:tab/>
      </w:r>
      <w:r w:rsidRPr="00026116">
        <w:rPr>
          <w:rFonts w:ascii="Century Gothic" w:hAnsi="Century Gothic"/>
          <w:sz w:val="18"/>
          <w:szCs w:val="18"/>
        </w:rPr>
        <w:tab/>
        <w:t xml:space="preserve">                                                                ..............................................................................</w:t>
      </w:r>
    </w:p>
    <w:p w:rsidR="00587924" w:rsidRPr="00026116" w:rsidRDefault="00587924" w:rsidP="00026116">
      <w:pPr>
        <w:rPr>
          <w:rFonts w:ascii="Century Gothic" w:hAnsi="Century Gothic"/>
          <w:i/>
          <w:iCs/>
          <w:sz w:val="18"/>
          <w:szCs w:val="18"/>
        </w:rPr>
      </w:pPr>
      <w:r w:rsidRPr="00026116">
        <w:rPr>
          <w:rFonts w:ascii="Century Gothic" w:hAnsi="Century Gothic"/>
          <w:i/>
          <w:iCs/>
          <w:sz w:val="18"/>
          <w:szCs w:val="18"/>
        </w:rPr>
        <w:t xml:space="preserve">                                                                                                                                                           /podpis i pieczątka upoważnionego  przedstawiciela</w:t>
      </w:r>
      <w:r w:rsidRPr="00026116">
        <w:rPr>
          <w:rFonts w:ascii="Century Gothic" w:hAnsi="Century Gothic"/>
          <w:sz w:val="18"/>
          <w:szCs w:val="18"/>
        </w:rPr>
        <w:t xml:space="preserve"> /</w:t>
      </w:r>
    </w:p>
    <w:p w:rsidR="00587924" w:rsidRPr="00026116" w:rsidRDefault="00587924" w:rsidP="00026116">
      <w:pPr>
        <w:rPr>
          <w:rFonts w:ascii="Century Gothic" w:hAnsi="Century Gothic"/>
          <w:i/>
          <w:sz w:val="18"/>
          <w:szCs w:val="18"/>
        </w:rPr>
      </w:pPr>
    </w:p>
    <w:sectPr w:rsidR="00587924" w:rsidRPr="00026116" w:rsidSect="00587924">
      <w:footerReference w:type="default" r:id="rId8"/>
      <w:pgSz w:w="16838" w:h="11906" w:orient="landscape"/>
      <w:pgMar w:top="1418" w:right="1418" w:bottom="1418" w:left="1418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BE7" w:rsidRDefault="00DE3BE7" w:rsidP="00BC4355">
      <w:pPr>
        <w:spacing w:line="240" w:lineRule="auto"/>
      </w:pPr>
      <w:r>
        <w:separator/>
      </w:r>
    </w:p>
  </w:endnote>
  <w:endnote w:type="continuationSeparator" w:id="0">
    <w:p w:rsidR="00DE3BE7" w:rsidRDefault="00DE3BE7" w:rsidP="00BC435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08002634"/>
      <w:docPartObj>
        <w:docPartGallery w:val="Page Numbers (Bottom of Page)"/>
        <w:docPartUnique/>
      </w:docPartObj>
    </w:sdtPr>
    <w:sdtEndPr>
      <w:rPr>
        <w:rFonts w:ascii="Arial Narrow" w:hAnsi="Arial Narrow"/>
        <w:sz w:val="18"/>
        <w:szCs w:val="18"/>
      </w:rPr>
    </w:sdtEndPr>
    <w:sdtContent>
      <w:p w:rsidR="001E5AFB" w:rsidRPr="00BC4355" w:rsidRDefault="001E5AFB">
        <w:pPr>
          <w:pStyle w:val="Stopka"/>
          <w:jc w:val="center"/>
          <w:rPr>
            <w:rFonts w:ascii="Arial Narrow" w:hAnsi="Arial Narrow"/>
            <w:sz w:val="18"/>
            <w:szCs w:val="18"/>
          </w:rPr>
        </w:pPr>
        <w:r w:rsidRPr="00BC4355">
          <w:rPr>
            <w:rFonts w:ascii="Arial Narrow" w:hAnsi="Arial Narrow"/>
            <w:sz w:val="18"/>
            <w:szCs w:val="18"/>
          </w:rPr>
          <w:fldChar w:fldCharType="begin"/>
        </w:r>
        <w:r w:rsidRPr="00BC4355">
          <w:rPr>
            <w:rFonts w:ascii="Arial Narrow" w:hAnsi="Arial Narrow"/>
            <w:sz w:val="18"/>
            <w:szCs w:val="18"/>
          </w:rPr>
          <w:instrText>PAGE   \* MERGEFORMAT</w:instrText>
        </w:r>
        <w:r w:rsidRPr="00BC4355">
          <w:rPr>
            <w:rFonts w:ascii="Arial Narrow" w:hAnsi="Arial Narrow"/>
            <w:sz w:val="18"/>
            <w:szCs w:val="18"/>
          </w:rPr>
          <w:fldChar w:fldCharType="separate"/>
        </w:r>
        <w:r w:rsidR="00026116">
          <w:rPr>
            <w:rFonts w:ascii="Arial Narrow" w:hAnsi="Arial Narrow"/>
            <w:noProof/>
            <w:sz w:val="18"/>
            <w:szCs w:val="18"/>
          </w:rPr>
          <w:t>10</w:t>
        </w:r>
        <w:r w:rsidRPr="00BC4355">
          <w:rPr>
            <w:rFonts w:ascii="Arial Narrow" w:hAnsi="Arial Narrow"/>
            <w:sz w:val="18"/>
            <w:szCs w:val="18"/>
          </w:rPr>
          <w:fldChar w:fldCharType="end"/>
        </w:r>
      </w:p>
    </w:sdtContent>
  </w:sdt>
  <w:p w:rsidR="001E5AFB" w:rsidRDefault="001E5AF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BE7" w:rsidRDefault="00DE3BE7" w:rsidP="00BC4355">
      <w:pPr>
        <w:spacing w:line="240" w:lineRule="auto"/>
      </w:pPr>
      <w:r>
        <w:separator/>
      </w:r>
    </w:p>
  </w:footnote>
  <w:footnote w:type="continuationSeparator" w:id="0">
    <w:p w:rsidR="00DE3BE7" w:rsidRDefault="00DE3BE7" w:rsidP="00BC435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57562E"/>
    <w:multiLevelType w:val="multilevel"/>
    <w:tmpl w:val="DA7C84A8"/>
    <w:styleLink w:val="WWNum1"/>
    <w:lvl w:ilvl="0">
      <w:start w:val="1"/>
      <w:numFmt w:val="decimal"/>
      <w:lvlText w:val="%1."/>
      <w:lvlJc w:val="center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587C5371"/>
    <w:multiLevelType w:val="multilevel"/>
    <w:tmpl w:val="35381464"/>
    <w:lvl w:ilvl="0">
      <w:start w:val="1"/>
      <w:numFmt w:val="upperRoman"/>
      <w:lvlText w:val="%1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ordinal"/>
      <w:lvlText w:val="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ordinal"/>
      <w:lvlText w:val="%2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0"/>
    <w:lvlOverride w:ilvl="0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91E"/>
    <w:rsid w:val="00026116"/>
    <w:rsid w:val="0016590A"/>
    <w:rsid w:val="001E5AFB"/>
    <w:rsid w:val="00222F30"/>
    <w:rsid w:val="003D507C"/>
    <w:rsid w:val="00506FED"/>
    <w:rsid w:val="00530394"/>
    <w:rsid w:val="00587924"/>
    <w:rsid w:val="0059391E"/>
    <w:rsid w:val="005B1721"/>
    <w:rsid w:val="008755AF"/>
    <w:rsid w:val="008C7EB3"/>
    <w:rsid w:val="00BC4355"/>
    <w:rsid w:val="00DE3BE7"/>
    <w:rsid w:val="00ED5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7924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1">
    <w:name w:val="heading 1"/>
    <w:basedOn w:val="Standard"/>
    <w:next w:val="Normalny"/>
    <w:link w:val="Nagwek1Znak"/>
    <w:rsid w:val="00587924"/>
    <w:pPr>
      <w:keepNext/>
      <w:jc w:val="right"/>
      <w:outlineLvl w:val="0"/>
    </w:pPr>
    <w:rPr>
      <w:sz w:val="24"/>
    </w:rPr>
  </w:style>
  <w:style w:type="paragraph" w:styleId="Nagwek2">
    <w:name w:val="heading 2"/>
    <w:basedOn w:val="Standard"/>
    <w:next w:val="Normalny"/>
    <w:link w:val="Nagwek2Znak"/>
    <w:rsid w:val="00587924"/>
    <w:pPr>
      <w:keepNext/>
      <w:jc w:val="center"/>
      <w:outlineLvl w:val="1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587924"/>
    <w:pPr>
      <w:suppressAutoHyphens/>
      <w:spacing w:after="200" w:line="276" w:lineRule="auto"/>
      <w:ind w:left="720"/>
      <w:jc w:val="left"/>
    </w:pPr>
    <w:rPr>
      <w:rFonts w:ascii="Calibri" w:eastAsia="Calibri" w:hAnsi="Calibri" w:cs="Calibri"/>
      <w:color w:val="00000A"/>
      <w:sz w:val="22"/>
      <w:szCs w:val="22"/>
      <w:lang w:eastAsia="en-US"/>
    </w:rPr>
  </w:style>
  <w:style w:type="paragraph" w:customStyle="1" w:styleId="Znak1">
    <w:name w:val="Znak1"/>
    <w:basedOn w:val="Normalny"/>
    <w:rsid w:val="00587924"/>
    <w:pPr>
      <w:spacing w:line="240" w:lineRule="auto"/>
      <w:jc w:val="left"/>
    </w:pPr>
    <w:rPr>
      <w:szCs w:val="24"/>
    </w:rPr>
  </w:style>
  <w:style w:type="character" w:customStyle="1" w:styleId="Nagwek1Znak">
    <w:name w:val="Nagłówek 1 Znak"/>
    <w:basedOn w:val="Domylnaczcionkaakapitu"/>
    <w:link w:val="Nagwek1"/>
    <w:rsid w:val="00587924"/>
    <w:rPr>
      <w:rFonts w:ascii="Bookman Old Style" w:eastAsia="Times New Roman" w:hAnsi="Bookman Old Style" w:cs="Times New Roman"/>
      <w:kern w:val="3"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587924"/>
    <w:rPr>
      <w:rFonts w:ascii="Bookman Old Style" w:eastAsia="Times New Roman" w:hAnsi="Bookman Old Style" w:cs="Times New Roman"/>
      <w:b/>
      <w:kern w:val="3"/>
      <w:sz w:val="24"/>
      <w:szCs w:val="20"/>
      <w:lang w:eastAsia="pl-PL"/>
    </w:rPr>
  </w:style>
  <w:style w:type="paragraph" w:customStyle="1" w:styleId="Standard">
    <w:name w:val="Standard"/>
    <w:rsid w:val="00587924"/>
    <w:pPr>
      <w:suppressAutoHyphens/>
      <w:autoSpaceDN w:val="0"/>
      <w:spacing w:after="0" w:line="240" w:lineRule="auto"/>
      <w:textAlignment w:val="baseline"/>
    </w:pPr>
    <w:rPr>
      <w:rFonts w:ascii="Bookman Old Style" w:eastAsia="Times New Roman" w:hAnsi="Bookman Old Style" w:cs="Times New Roman"/>
      <w:kern w:val="3"/>
      <w:sz w:val="20"/>
      <w:szCs w:val="20"/>
      <w:lang w:eastAsia="pl-PL"/>
    </w:rPr>
  </w:style>
  <w:style w:type="numbering" w:customStyle="1" w:styleId="WWNum1">
    <w:name w:val="WWNum1"/>
    <w:basedOn w:val="Bezlisty"/>
    <w:rsid w:val="00587924"/>
    <w:pPr>
      <w:numPr>
        <w:numId w:val="1"/>
      </w:numPr>
    </w:pPr>
  </w:style>
  <w:style w:type="paragraph" w:styleId="Nagwek">
    <w:name w:val="header"/>
    <w:basedOn w:val="Normalny"/>
    <w:link w:val="NagwekZnak"/>
    <w:uiPriority w:val="99"/>
    <w:unhideWhenUsed/>
    <w:rsid w:val="00BC4355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C435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C4355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C435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C7E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C7EB3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7924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1">
    <w:name w:val="heading 1"/>
    <w:basedOn w:val="Standard"/>
    <w:next w:val="Normalny"/>
    <w:link w:val="Nagwek1Znak"/>
    <w:rsid w:val="00587924"/>
    <w:pPr>
      <w:keepNext/>
      <w:jc w:val="right"/>
      <w:outlineLvl w:val="0"/>
    </w:pPr>
    <w:rPr>
      <w:sz w:val="24"/>
    </w:rPr>
  </w:style>
  <w:style w:type="paragraph" w:styleId="Nagwek2">
    <w:name w:val="heading 2"/>
    <w:basedOn w:val="Standard"/>
    <w:next w:val="Normalny"/>
    <w:link w:val="Nagwek2Znak"/>
    <w:rsid w:val="00587924"/>
    <w:pPr>
      <w:keepNext/>
      <w:jc w:val="center"/>
      <w:outlineLvl w:val="1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587924"/>
    <w:pPr>
      <w:suppressAutoHyphens/>
      <w:spacing w:after="200" w:line="276" w:lineRule="auto"/>
      <w:ind w:left="720"/>
      <w:jc w:val="left"/>
    </w:pPr>
    <w:rPr>
      <w:rFonts w:ascii="Calibri" w:eastAsia="Calibri" w:hAnsi="Calibri" w:cs="Calibri"/>
      <w:color w:val="00000A"/>
      <w:sz w:val="22"/>
      <w:szCs w:val="22"/>
      <w:lang w:eastAsia="en-US"/>
    </w:rPr>
  </w:style>
  <w:style w:type="paragraph" w:customStyle="1" w:styleId="Znak1">
    <w:name w:val="Znak1"/>
    <w:basedOn w:val="Normalny"/>
    <w:rsid w:val="00587924"/>
    <w:pPr>
      <w:spacing w:line="240" w:lineRule="auto"/>
      <w:jc w:val="left"/>
    </w:pPr>
    <w:rPr>
      <w:szCs w:val="24"/>
    </w:rPr>
  </w:style>
  <w:style w:type="character" w:customStyle="1" w:styleId="Nagwek1Znak">
    <w:name w:val="Nagłówek 1 Znak"/>
    <w:basedOn w:val="Domylnaczcionkaakapitu"/>
    <w:link w:val="Nagwek1"/>
    <w:rsid w:val="00587924"/>
    <w:rPr>
      <w:rFonts w:ascii="Bookman Old Style" w:eastAsia="Times New Roman" w:hAnsi="Bookman Old Style" w:cs="Times New Roman"/>
      <w:kern w:val="3"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587924"/>
    <w:rPr>
      <w:rFonts w:ascii="Bookman Old Style" w:eastAsia="Times New Roman" w:hAnsi="Bookman Old Style" w:cs="Times New Roman"/>
      <w:b/>
      <w:kern w:val="3"/>
      <w:sz w:val="24"/>
      <w:szCs w:val="20"/>
      <w:lang w:eastAsia="pl-PL"/>
    </w:rPr>
  </w:style>
  <w:style w:type="paragraph" w:customStyle="1" w:styleId="Standard">
    <w:name w:val="Standard"/>
    <w:rsid w:val="00587924"/>
    <w:pPr>
      <w:suppressAutoHyphens/>
      <w:autoSpaceDN w:val="0"/>
      <w:spacing w:after="0" w:line="240" w:lineRule="auto"/>
      <w:textAlignment w:val="baseline"/>
    </w:pPr>
    <w:rPr>
      <w:rFonts w:ascii="Bookman Old Style" w:eastAsia="Times New Roman" w:hAnsi="Bookman Old Style" w:cs="Times New Roman"/>
      <w:kern w:val="3"/>
      <w:sz w:val="20"/>
      <w:szCs w:val="20"/>
      <w:lang w:eastAsia="pl-PL"/>
    </w:rPr>
  </w:style>
  <w:style w:type="numbering" w:customStyle="1" w:styleId="WWNum1">
    <w:name w:val="WWNum1"/>
    <w:basedOn w:val="Bezlisty"/>
    <w:rsid w:val="00587924"/>
    <w:pPr>
      <w:numPr>
        <w:numId w:val="1"/>
      </w:numPr>
    </w:pPr>
  </w:style>
  <w:style w:type="paragraph" w:styleId="Nagwek">
    <w:name w:val="header"/>
    <w:basedOn w:val="Normalny"/>
    <w:link w:val="NagwekZnak"/>
    <w:uiPriority w:val="99"/>
    <w:unhideWhenUsed/>
    <w:rsid w:val="00BC4355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C435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C4355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C435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C7E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C7EB3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1471</Words>
  <Characters>8830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rrurarz</dc:creator>
  <cp:keywords/>
  <dc:description/>
  <cp:lastModifiedBy>rrurarz</cp:lastModifiedBy>
  <cp:revision>12</cp:revision>
  <cp:lastPrinted>2017-10-16T11:45:00Z</cp:lastPrinted>
  <dcterms:created xsi:type="dcterms:W3CDTF">2017-10-12T09:29:00Z</dcterms:created>
  <dcterms:modified xsi:type="dcterms:W3CDTF">2017-10-16T11:45:00Z</dcterms:modified>
</cp:coreProperties>
</file>