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24" w:rsidRPr="00CB1661" w:rsidRDefault="00650902" w:rsidP="00CB1661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CB1661">
        <w:rPr>
          <w:rFonts w:ascii="Century Gothic" w:hAnsi="Century Gothic"/>
          <w:b/>
          <w:sz w:val="18"/>
          <w:szCs w:val="18"/>
        </w:rPr>
        <w:t>Załącznik nr 1.</w:t>
      </w:r>
      <w:r w:rsidR="0016742E">
        <w:rPr>
          <w:rFonts w:ascii="Century Gothic" w:hAnsi="Century Gothic"/>
          <w:b/>
          <w:sz w:val="18"/>
          <w:szCs w:val="18"/>
        </w:rPr>
        <w:t>2</w:t>
      </w:r>
      <w:r w:rsidR="00D11924" w:rsidRPr="00CB1661">
        <w:rPr>
          <w:rFonts w:ascii="Century Gothic" w:hAnsi="Century Gothic"/>
          <w:b/>
          <w:sz w:val="18"/>
          <w:szCs w:val="18"/>
        </w:rPr>
        <w:t xml:space="preserve"> do </w:t>
      </w:r>
      <w:proofErr w:type="spellStart"/>
      <w:r w:rsidR="00D11924" w:rsidRPr="00CB1661">
        <w:rPr>
          <w:rFonts w:ascii="Century Gothic" w:hAnsi="Century Gothic"/>
          <w:b/>
          <w:sz w:val="18"/>
          <w:szCs w:val="18"/>
        </w:rPr>
        <w:t>siwz</w:t>
      </w:r>
      <w:proofErr w:type="spellEnd"/>
      <w:r w:rsidR="00D11924" w:rsidRPr="00CB1661"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D11924" w:rsidRPr="00CB1661" w:rsidRDefault="00D11924" w:rsidP="00CB1661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CB1661">
        <w:rPr>
          <w:rFonts w:ascii="Century Gothic" w:hAnsi="Century Gothic"/>
          <w:b/>
          <w:sz w:val="18"/>
          <w:szCs w:val="18"/>
        </w:rPr>
        <w:t>Oznaczenie postępowania: DA</w:t>
      </w:r>
      <w:r w:rsidR="00650902" w:rsidRPr="00CB1661">
        <w:rPr>
          <w:rFonts w:ascii="Century Gothic" w:hAnsi="Century Gothic"/>
          <w:b/>
          <w:sz w:val="18"/>
          <w:szCs w:val="18"/>
        </w:rPr>
        <w:t>.</w:t>
      </w:r>
      <w:r w:rsidRPr="00CB1661">
        <w:rPr>
          <w:rFonts w:ascii="Century Gothic" w:hAnsi="Century Gothic"/>
          <w:b/>
          <w:sz w:val="18"/>
          <w:szCs w:val="18"/>
        </w:rPr>
        <w:t>ZP</w:t>
      </w:r>
      <w:r w:rsidR="0016742E">
        <w:rPr>
          <w:rFonts w:ascii="Century Gothic" w:hAnsi="Century Gothic"/>
          <w:b/>
          <w:sz w:val="18"/>
          <w:szCs w:val="18"/>
        </w:rPr>
        <w:t>.242.9</w:t>
      </w:r>
      <w:r w:rsidR="00650902" w:rsidRPr="00CB1661">
        <w:rPr>
          <w:rFonts w:ascii="Century Gothic" w:hAnsi="Century Gothic"/>
          <w:b/>
          <w:sz w:val="18"/>
          <w:szCs w:val="18"/>
        </w:rPr>
        <w:t>2.2017</w:t>
      </w:r>
    </w:p>
    <w:p w:rsidR="00D11924" w:rsidRPr="00CB1661" w:rsidRDefault="00D11924" w:rsidP="00CB1661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D11924" w:rsidRPr="00CB1661" w:rsidRDefault="0016742E" w:rsidP="00CB1661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2</w:t>
      </w:r>
      <w:bookmarkStart w:id="0" w:name="_GoBack"/>
      <w:bookmarkEnd w:id="0"/>
    </w:p>
    <w:p w:rsidR="00D11924" w:rsidRPr="00CB1661" w:rsidRDefault="00D11924" w:rsidP="00CB1661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D11924" w:rsidRPr="00CB1661" w:rsidRDefault="00D11924" w:rsidP="00CB1661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CB1661">
        <w:rPr>
          <w:rFonts w:ascii="Century Gothic" w:hAnsi="Century Gothic"/>
          <w:b/>
          <w:sz w:val="18"/>
          <w:szCs w:val="18"/>
        </w:rPr>
        <w:t xml:space="preserve">Pompy objętościowa  –  5 </w:t>
      </w:r>
      <w:proofErr w:type="spellStart"/>
      <w:r w:rsidRPr="00CB1661">
        <w:rPr>
          <w:rFonts w:ascii="Century Gothic" w:hAnsi="Century Gothic"/>
          <w:b/>
          <w:sz w:val="18"/>
          <w:szCs w:val="18"/>
        </w:rPr>
        <w:t>szt</w:t>
      </w:r>
      <w:proofErr w:type="spellEnd"/>
    </w:p>
    <w:p w:rsidR="00D11924" w:rsidRPr="00CB1661" w:rsidRDefault="00D11924" w:rsidP="00CB1661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361"/>
        <w:gridCol w:w="4111"/>
      </w:tblGrid>
      <w:tr w:rsidR="00D11924" w:rsidRPr="00CB1661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11924" w:rsidRPr="00CB1661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11924" w:rsidRPr="00CB1661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11924" w:rsidRPr="00CB1661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11924" w:rsidRPr="00CB1661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Rok produkcji  2017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11924" w:rsidRPr="00CB1661" w:rsidRDefault="00D11924" w:rsidP="00CB1661">
      <w:pPr>
        <w:spacing w:line="360" w:lineRule="auto"/>
        <w:ind w:left="360"/>
        <w:rPr>
          <w:rFonts w:ascii="Century Gothic" w:hAnsi="Century Gothic"/>
          <w:sz w:val="18"/>
          <w:szCs w:val="18"/>
        </w:rPr>
      </w:pPr>
    </w:p>
    <w:p w:rsidR="00D11924" w:rsidRPr="00CB1661" w:rsidRDefault="00D11924" w:rsidP="00CB1661">
      <w:pPr>
        <w:pStyle w:val="Akapitzlist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D11924" w:rsidRPr="00CB1661" w:rsidRDefault="00D11924" w:rsidP="00CB1661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B1661">
        <w:rPr>
          <w:rFonts w:ascii="Century Gothic" w:hAnsi="Century Gothic"/>
          <w:b/>
          <w:bCs/>
          <w:sz w:val="18"/>
          <w:szCs w:val="18"/>
        </w:rPr>
        <w:t>Część A: ZESTAWIENIE PARAMETRÓW TECHNICZNO-UŻYTKOWYCH</w:t>
      </w:r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3261"/>
        <w:gridCol w:w="3827"/>
      </w:tblGrid>
      <w:tr w:rsidR="00D11924" w:rsidRPr="00CB1661" w:rsidTr="00D11924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sz w:val="18"/>
                <w:szCs w:val="18"/>
              </w:rPr>
              <w:t>Wartość wymagana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sz w:val="18"/>
                <w:szCs w:val="18"/>
              </w:rPr>
              <w:t xml:space="preserve">Parametry oferowane </w:t>
            </w:r>
          </w:p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sz w:val="18"/>
                <w:szCs w:val="18"/>
              </w:rPr>
              <w:t>(podać zakres lub opisać)</w:t>
            </w:r>
          </w:p>
        </w:tc>
      </w:tr>
      <w:tr w:rsidR="00D11924" w:rsidRPr="00CB1661" w:rsidTr="00D1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Automatyczny mechanizm zabezpieczający przed swobodnym przepływem grawitacyjnym składający się z dwóch elementów – jeden w pompie i jeden w zestawie do przetoczeń.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Możliwość prowadzenia infuzji z odłączonym detektorem kropli.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System wykrywania powietrza w drenie z regulacją czułości alarmu: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dla pojedynczego bąbelka,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8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dla wartości skumulowanej / 15 min.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 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Zakres szybkości dozowania 0.1 – 1200 ml/h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 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</w:rPr>
              <w:t>Dokładność infuzji 5%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lastRenderedPageBreak/>
              <w:t>6.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</w:rPr>
              <w:t>Bolus manualny i automatyczny, z zaprogramowaną dawką.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</w:rPr>
              <w:t>Programowanie parametrów podaży Bolus-a: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</w:rPr>
              <w:t>objętość / dawka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2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</w:rPr>
              <w:t>czas lub szybkość podaży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</w:rPr>
              <w:t>Zmiana parametrów Bolus-a bez wstrzymywania infuzji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Możliwość programowania podaży dawki indukcyjnej (wysycającej) przed każdą infuzją: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2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objętość / dawka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2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czas lub szybkość podaży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Programowanie parametrów infuzji w jednostkach: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ng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μg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, mg,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mIU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, IU,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kIU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mEq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Eq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cal, kcal, J,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kJ</w:t>
            </w:r>
            <w:proofErr w:type="spellEnd"/>
          </w:p>
          <w:p w:rsidR="00D11924" w:rsidRPr="00CB1661" w:rsidRDefault="00D11924" w:rsidP="00CB1661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jednostki molowe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na kg wagi ciała lub nie,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na min, godz. dobę.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Klawiatura numeryczna do wprowadzania wartości parametrów infuzji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lastRenderedPageBreak/>
              <w:t>11.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Biblioteka leków – możliwość zapisania w pompie procedur dozowania leków złożonych co najmniej z: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4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nazwy leku,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min 1 koncentracji leku,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szybkości dozowania (dawkowanie),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całkowitej objętości (dawki) infuzji,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parametrów bolusa,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limitów dla wymienionych parametrów infuzji:</w:t>
            </w:r>
          </w:p>
          <w:p w:rsidR="00D11924" w:rsidRPr="00CB1661" w:rsidRDefault="00D11924" w:rsidP="00CB1661">
            <w:pPr>
              <w:pStyle w:val="Standard"/>
              <w:numPr>
                <w:ilvl w:val="1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miękkich- ostrzegających o przekroczeniu zalecanych wartości parametrów,</w:t>
            </w:r>
          </w:p>
          <w:p w:rsidR="00D11924" w:rsidRPr="00CB1661" w:rsidRDefault="00D11924" w:rsidP="00CB1661">
            <w:pPr>
              <w:pStyle w:val="Standard"/>
              <w:numPr>
                <w:ilvl w:val="1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twardych- blokujących możliwość wprowadzenia wartości z poza ich zakresu.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Notatki doradczej możliwej do odczytania przed rozpoczęciem infuzji.</w:t>
            </w:r>
          </w:p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Podział biblioteki na części dedykowane poszczególnym oddziałom szpitalnym, minimum 10 oddziałów.</w:t>
            </w:r>
          </w:p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Pojemność biblioteki min 500 procedur dozowania leków.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pStyle w:val="Standard"/>
              <w:tabs>
                <w:tab w:val="left" w:pos="360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Dostępność oprogramowania komputerowego do tworzenia i przesyłania do pompy biblioteki leków.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Regulowane progi ciśnienia okluzji za pompą, min 10 poziomów.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Wykrywanie okluzji między pojemnikiem a pompą.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Zmiana progu ciśnienia okluzji bez przerywania infuzji.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Automatyczna redukcja bolusa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okluzyjnego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lastRenderedPageBreak/>
              <w:t>17.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Rozbudowany system alarmów: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5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alarm wstępny opróżnienia strzykawki,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alarm wstępny do końca infuzji,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koniec infuzji,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okluzja za pompą,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okluzja przed pompą,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30 min do rozładowania akumulatora,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akumulator rozładowany,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pompa uszkodzona,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Historia infuzji – możliwość zapamiętania 2000 zdarzeń oznaczonych datą i godziną zdarzenia.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Czas pracy z akumulatora min. 10 h przy infuzji 25 ml/h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Czas ładowania akumulatora do 100% po pełnym rozładowaniu - poniżej 5 h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Mocowanie pojedynczej pompy do statywów lub pionowych kolumn nie wymaga dołączenia jakichkolwiek części po bezpośrednim wyjęciu pompy ze stacji dokującej.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136"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Mocowanie pomp w stacji dokującej nie wymaga odłączenia jakichkolwiek części po bezpośrednim zdjęciu pompy ze statywu.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ind w:left="720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136"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Uchwyt do przenoszenia pompy na stałe związany z pompą, niewymagający odłączania przy mocowaniu pomp w stacjach dokujących.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ind w:left="720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136"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lastRenderedPageBreak/>
              <w:t>24.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Możliwość instalacji pompy w stacji dokującej: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Zatrzaskowe mocowanie z automatyczną blokadą, bez konieczności przykręcania.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4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alarm nieprawidłowego mocowania pomp w stacji,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4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pompy mocowane niezależnie, jedna nad drugą,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4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automatyczne przyłączenie zasilania ze stacji dokującej,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4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automatyczne przyłączenie portu komunikacyjnego ze stacji dokującej,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Możliwość komunikacji pomp umieszczonych w stacjach dokujących poprzez sieć LAN z oprogramowaniem zewnętrznym, służącym do: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7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podglądu przebiegu infuzji dla każdej pompy w formie danych oraz graficznego wykresu (trendu),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podglądu parametrów infuzji dla każdej pompy,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prezentacji alarmów w pompach oraz wyświetlania ich przyczyny,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graficznej prezentacji rozmieszczenia łóżek na oddziale oraz statusu infuzji,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archiwizacji informacji o przeprowadzonych infuzjach,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połączenia z szpitalnymi bazami danych w standardzie HL7,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wpisywania do pomp w sposób automatyczny konfiguracji oraz biblioteki leków.</w:t>
            </w:r>
          </w:p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Dostępność sieciowego oprogramowania do monitorowania infuzji zgodnie z powyższymi wymaganiami.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Zasilanie pomp mocowanych poza stacją dokującą bezpośrednio z sieci energetycznej – niedopuszczalny jest zasilacz zewnętrzny.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lastRenderedPageBreak/>
              <w:t>27.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Czytelny wyświetlacz z możliwością wyświetlenia następujących informacji jednocześnie: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8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nazwa leku,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7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prędkość infuzji,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7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podana dawka,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7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stan naładowania akumulatora,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7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aktualne ciśnienie w drenie.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Napisy na wyświetlaczu w języku polskim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Instrukcja obsługi w języku polskim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Waga do 2.5 kg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Zasilanie 230 V AC oraz 12 V DC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Ochrona przed zalaniem; min IP22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Dostępność dedykowanych drenów z materiału DEHP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free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 do podaży: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9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leków standardowych, płynów infuzyjnych i żywienia pozajelitowego,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9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leków światłoczułych,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9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krwi i preparatów krwiopochodnych,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Kompatybilne ze stacją dokującą DS306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Medima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</w:tbl>
    <w:p w:rsidR="00D11924" w:rsidRPr="00CB1661" w:rsidRDefault="00D11924" w:rsidP="00CB1661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:rsidR="00D11924" w:rsidRPr="00CB1661" w:rsidRDefault="00D11924" w:rsidP="00CB1661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:rsidR="00D11924" w:rsidRPr="00CB1661" w:rsidRDefault="00D11924" w:rsidP="00CB1661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:rsidR="00D11924" w:rsidRPr="00CB1661" w:rsidRDefault="00D11924" w:rsidP="00CB1661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CB1661">
        <w:rPr>
          <w:rFonts w:ascii="Century Gothic" w:hAnsi="Century Gothic" w:cs="Tahoma"/>
          <w:sz w:val="18"/>
          <w:szCs w:val="18"/>
        </w:rPr>
        <w:t>Wykonawca oświadcza, że oferowany powyżej wyspecjalizowany sprzęt medyczny jest fabrycznie nowy, nie używany, nie był przedmiotem wystaw i prezentacji, a po dostarczeniu i zamontowaniu przez Wykonawcę będzie gotowy do pracy zgodnie z przeznaczeniem bez dodatkowych zakupów i dostaw.</w:t>
      </w:r>
    </w:p>
    <w:p w:rsidR="00D11924" w:rsidRPr="00CB1661" w:rsidRDefault="00D11924" w:rsidP="00CB1661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D11924" w:rsidRPr="00CB1661" w:rsidRDefault="00D11924" w:rsidP="00CB1661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CB1661">
        <w:rPr>
          <w:rFonts w:ascii="Century Gothic" w:hAnsi="Century Gothic" w:cs="Tahoma"/>
          <w:color w:val="000000"/>
          <w:sz w:val="18"/>
          <w:szCs w:val="18"/>
        </w:rPr>
        <w:t>Wykonawca zobowiązany jest do podania parametrów w jednostkach wskazanych w niniejszej tabelce.</w:t>
      </w:r>
    </w:p>
    <w:p w:rsidR="00D11924" w:rsidRPr="00CB1661" w:rsidRDefault="00D11924" w:rsidP="00CB1661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D11924" w:rsidRPr="00CB1661" w:rsidRDefault="00D11924" w:rsidP="00CB1661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 w:rsidRPr="00CB1661">
        <w:rPr>
          <w:rFonts w:ascii="Century Gothic" w:hAnsi="Century Gothic" w:cs="Tahoma"/>
          <w:color w:val="000000"/>
          <w:sz w:val="18"/>
          <w:szCs w:val="18"/>
        </w:rPr>
        <w:lastRenderedPageBreak/>
        <w:t xml:space="preserve">W   przypadku   pojedynczych   parametrów,   nie   występujących   w   materiałach   firmowych,   Zamawiający   dopuszcza   oświadczenie   producenta </w:t>
      </w:r>
      <w:r w:rsidRPr="00CB1661">
        <w:rPr>
          <w:rFonts w:ascii="Century Gothic" w:hAnsi="Century Gothic" w:cs="Tahoma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 w:rsidRPr="00CB1661">
        <w:rPr>
          <w:rFonts w:ascii="Century Gothic" w:hAnsi="Century Gothic" w:cs="Tahoma"/>
          <w:b/>
          <w:bCs/>
          <w:color w:val="000000"/>
          <w:sz w:val="18"/>
          <w:szCs w:val="18"/>
        </w:rPr>
        <w:t>.</w:t>
      </w:r>
    </w:p>
    <w:p w:rsidR="00D11924" w:rsidRPr="00CB1661" w:rsidRDefault="00D11924" w:rsidP="00CB1661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</w:p>
    <w:p w:rsidR="00D11924" w:rsidRPr="00CB1661" w:rsidRDefault="00D11924" w:rsidP="00CB1661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CB1661">
        <w:rPr>
          <w:rFonts w:ascii="Century Gothic" w:hAnsi="Century Gothic" w:cs="Tahoma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 w:rsidRPr="00CB1661">
        <w:rPr>
          <w:rFonts w:ascii="Century Gothic" w:hAnsi="Century Gothic" w:cs="Tahoma"/>
          <w:sz w:val="18"/>
          <w:szCs w:val="18"/>
        </w:rPr>
        <w:t xml:space="preserve"> </w:t>
      </w:r>
      <w:r w:rsidRPr="00CB1661">
        <w:rPr>
          <w:rFonts w:ascii="Century Gothic" w:hAnsi="Century Gothic" w:cs="Tahoma"/>
          <w:color w:val="000000"/>
          <w:sz w:val="18"/>
          <w:szCs w:val="18"/>
        </w:rPr>
        <w:t>producenta sprzętu.</w:t>
      </w:r>
    </w:p>
    <w:p w:rsidR="00D11924" w:rsidRPr="00CB1661" w:rsidRDefault="00D11924" w:rsidP="00CB1661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D11924" w:rsidRPr="00CB1661" w:rsidRDefault="00D11924" w:rsidP="00CB1661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D11924" w:rsidRPr="00CB1661" w:rsidRDefault="00D11924" w:rsidP="00CB1661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CB1661"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D11924" w:rsidRPr="00CB1661" w:rsidRDefault="00D11924" w:rsidP="00CB1661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14535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4618"/>
        <w:gridCol w:w="1419"/>
        <w:gridCol w:w="1559"/>
        <w:gridCol w:w="1418"/>
        <w:gridCol w:w="1417"/>
        <w:gridCol w:w="1701"/>
        <w:gridCol w:w="1701"/>
      </w:tblGrid>
      <w:tr w:rsidR="00D11924" w:rsidRPr="00CB1661" w:rsidTr="00392B1C">
        <w:trPr>
          <w:cantSplit/>
          <w:trHeight w:val="1022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jedn. netto PLN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netto 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Podatek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 brutto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</w:tr>
      <w:tr w:rsidR="00D11924" w:rsidRPr="00CB1661" w:rsidTr="00392B1C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sz w:val="18"/>
                <w:szCs w:val="18"/>
              </w:rPr>
              <w:t>Pompa objętościowa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sz w:val="18"/>
                <w:szCs w:val="18"/>
              </w:rPr>
              <w:t xml:space="preserve"> (zgodny z parametrami określonymi w części A )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sz w:val="18"/>
                <w:szCs w:val="18"/>
              </w:rPr>
              <w:t>…………………………………..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sz w:val="18"/>
                <w:szCs w:val="18"/>
              </w:rPr>
              <w:t>(nazwa, model)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sz w:val="18"/>
                <w:szCs w:val="18"/>
              </w:rPr>
              <w:t xml:space="preserve">5 </w:t>
            </w:r>
            <w:proofErr w:type="spellStart"/>
            <w:r w:rsidRPr="00CB1661"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  <w:r w:rsidRPr="00CB1661">
        <w:rPr>
          <w:rFonts w:ascii="Century Gothic" w:hAnsi="Century Gothic"/>
          <w:b/>
          <w:sz w:val="18"/>
          <w:szCs w:val="18"/>
        </w:rPr>
        <w:t xml:space="preserve">Wartość: </w:t>
      </w:r>
    </w:p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CB1661">
        <w:rPr>
          <w:rFonts w:ascii="Century Gothic" w:hAnsi="Century Gothic"/>
          <w:b/>
          <w:sz w:val="18"/>
          <w:szCs w:val="18"/>
        </w:rPr>
        <w:t>netto:</w:t>
      </w:r>
      <w:r w:rsidRPr="00CB1661">
        <w:rPr>
          <w:rFonts w:ascii="Century Gothic" w:hAnsi="Century Gothic"/>
          <w:sz w:val="18"/>
          <w:szCs w:val="18"/>
        </w:rPr>
        <w:t xml:space="preserve">  ……………………PLN          (słownie: …………………………………………………………………………………….)</w:t>
      </w:r>
    </w:p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CB1661">
        <w:rPr>
          <w:rFonts w:ascii="Century Gothic" w:hAnsi="Century Gothic"/>
          <w:b/>
          <w:sz w:val="18"/>
          <w:szCs w:val="18"/>
        </w:rPr>
        <w:t>brutto:</w:t>
      </w:r>
      <w:r w:rsidRPr="00CB1661">
        <w:rPr>
          <w:rFonts w:ascii="Century Gothic" w:hAnsi="Century Gothic"/>
          <w:sz w:val="18"/>
          <w:szCs w:val="18"/>
        </w:rPr>
        <w:t xml:space="preserve"> ……………………PLN          (słownie: ……………………………………………………………………………………..)  </w:t>
      </w:r>
    </w:p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CB1661">
        <w:rPr>
          <w:rFonts w:ascii="Century Gothic" w:hAnsi="Century Gothic"/>
          <w:sz w:val="18"/>
          <w:szCs w:val="18"/>
          <w:u w:val="dotted"/>
        </w:rPr>
        <w:tab/>
      </w:r>
      <w:r w:rsidRPr="00CB1661">
        <w:rPr>
          <w:rFonts w:ascii="Century Gothic" w:hAnsi="Century Gothic"/>
          <w:sz w:val="18"/>
          <w:szCs w:val="18"/>
        </w:rPr>
        <w:t xml:space="preserve"> dnia </w:t>
      </w:r>
      <w:r w:rsidRPr="00CB1661">
        <w:rPr>
          <w:rFonts w:ascii="Century Gothic" w:hAnsi="Century Gothic"/>
          <w:sz w:val="18"/>
          <w:szCs w:val="18"/>
          <w:u w:val="dotted"/>
        </w:rPr>
        <w:tab/>
      </w:r>
      <w:r w:rsidRPr="00CB1661">
        <w:rPr>
          <w:rFonts w:ascii="Century Gothic" w:hAnsi="Century Gothic"/>
          <w:sz w:val="18"/>
          <w:szCs w:val="18"/>
        </w:rPr>
        <w:tab/>
        <w:t xml:space="preserve">                                                                ..............................................................................</w:t>
      </w:r>
    </w:p>
    <w:p w:rsidR="008755AF" w:rsidRPr="00CB1661" w:rsidRDefault="00D11924" w:rsidP="00CB1661">
      <w:pPr>
        <w:spacing w:line="360" w:lineRule="auto"/>
        <w:rPr>
          <w:rFonts w:ascii="Century Gothic" w:hAnsi="Century Gothic"/>
          <w:sz w:val="18"/>
          <w:szCs w:val="18"/>
        </w:rPr>
      </w:pPr>
      <w:r w:rsidRPr="00CB1661">
        <w:rPr>
          <w:rFonts w:ascii="Century Gothic" w:hAnsi="Century Gothic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/podpis i pieczątka upoważnionego  przedstawiciela</w:t>
      </w:r>
      <w:r w:rsidRPr="00CB1661">
        <w:rPr>
          <w:rFonts w:ascii="Century Gothic" w:hAnsi="Century Gothic"/>
          <w:sz w:val="18"/>
          <w:szCs w:val="18"/>
        </w:rPr>
        <w:t xml:space="preserve"> /</w:t>
      </w:r>
    </w:p>
    <w:sectPr w:rsidR="008755AF" w:rsidRPr="00CB1661" w:rsidSect="00D11924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3D" w:rsidRDefault="0063053D" w:rsidP="00D11924">
      <w:r>
        <w:separator/>
      </w:r>
    </w:p>
  </w:endnote>
  <w:endnote w:type="continuationSeparator" w:id="0">
    <w:p w:rsidR="0063053D" w:rsidRDefault="0063053D" w:rsidP="00D1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394372"/>
      <w:docPartObj>
        <w:docPartGallery w:val="Page Numbers (Bottom of Page)"/>
        <w:docPartUnique/>
      </w:docPartObj>
    </w:sdtPr>
    <w:sdtEndPr/>
    <w:sdtContent>
      <w:p w:rsidR="00D11924" w:rsidRDefault="00D119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42E">
          <w:rPr>
            <w:noProof/>
          </w:rPr>
          <w:t>7</w:t>
        </w:r>
        <w:r>
          <w:fldChar w:fldCharType="end"/>
        </w:r>
      </w:p>
    </w:sdtContent>
  </w:sdt>
  <w:p w:rsidR="00D11924" w:rsidRDefault="00D11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3D" w:rsidRDefault="0063053D" w:rsidP="00D11924">
      <w:r>
        <w:separator/>
      </w:r>
    </w:p>
  </w:footnote>
  <w:footnote w:type="continuationSeparator" w:id="0">
    <w:p w:rsidR="0063053D" w:rsidRDefault="0063053D" w:rsidP="00D1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C8E"/>
    <w:multiLevelType w:val="multilevel"/>
    <w:tmpl w:val="F75ABDE2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3CE7F3E"/>
    <w:multiLevelType w:val="multilevel"/>
    <w:tmpl w:val="7FAECF6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5E20B17"/>
    <w:multiLevelType w:val="multilevel"/>
    <w:tmpl w:val="51466D42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F216D60"/>
    <w:multiLevelType w:val="multilevel"/>
    <w:tmpl w:val="9F40F2F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51957DFC"/>
    <w:multiLevelType w:val="multilevel"/>
    <w:tmpl w:val="EED619B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2883DFD"/>
    <w:multiLevelType w:val="multilevel"/>
    <w:tmpl w:val="9EFA454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63755A83"/>
    <w:multiLevelType w:val="multilevel"/>
    <w:tmpl w:val="2E385F7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3A45172"/>
    <w:multiLevelType w:val="multilevel"/>
    <w:tmpl w:val="8F32DF1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63AA3DB3"/>
    <w:multiLevelType w:val="multilevel"/>
    <w:tmpl w:val="9A02D69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1"/>
  </w:num>
  <w:num w:numId="11">
    <w:abstractNumId w:val="4"/>
  </w:num>
  <w:num w:numId="12">
    <w:abstractNumId w:val="4"/>
  </w:num>
  <w:num w:numId="13">
    <w:abstractNumId w:val="3"/>
  </w:num>
  <w:num w:numId="14">
    <w:abstractNumId w:val="8"/>
  </w:num>
  <w:num w:numId="15">
    <w:abstractNumId w:val="6"/>
  </w:num>
  <w:num w:numId="16">
    <w:abstractNumId w:val="5"/>
  </w:num>
  <w:num w:numId="17">
    <w:abstractNumId w:val="7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A7"/>
    <w:rsid w:val="0016742E"/>
    <w:rsid w:val="005B1721"/>
    <w:rsid w:val="0063053D"/>
    <w:rsid w:val="00650902"/>
    <w:rsid w:val="008755AF"/>
    <w:rsid w:val="00B33A65"/>
    <w:rsid w:val="00B62BA7"/>
    <w:rsid w:val="00CB1661"/>
    <w:rsid w:val="00D11924"/>
    <w:rsid w:val="00E01499"/>
    <w:rsid w:val="00F7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1924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Standard">
    <w:name w:val="Standard"/>
    <w:rsid w:val="00D11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Num2">
    <w:name w:val="WWNum2"/>
    <w:basedOn w:val="Bezlisty"/>
    <w:rsid w:val="00D11924"/>
    <w:pPr>
      <w:numPr>
        <w:numId w:val="1"/>
      </w:numPr>
    </w:pPr>
  </w:style>
  <w:style w:type="numbering" w:customStyle="1" w:styleId="WWNum3">
    <w:name w:val="WWNum3"/>
    <w:basedOn w:val="Bezlisty"/>
    <w:rsid w:val="00D11924"/>
    <w:pPr>
      <w:numPr>
        <w:numId w:val="2"/>
      </w:numPr>
    </w:pPr>
  </w:style>
  <w:style w:type="numbering" w:customStyle="1" w:styleId="WWNum4">
    <w:name w:val="WWNum4"/>
    <w:basedOn w:val="Bezlisty"/>
    <w:rsid w:val="00D11924"/>
    <w:pPr>
      <w:numPr>
        <w:numId w:val="3"/>
      </w:numPr>
    </w:pPr>
  </w:style>
  <w:style w:type="numbering" w:customStyle="1" w:styleId="WWNum5">
    <w:name w:val="WWNum5"/>
    <w:basedOn w:val="Bezlisty"/>
    <w:rsid w:val="00D11924"/>
    <w:pPr>
      <w:numPr>
        <w:numId w:val="4"/>
      </w:numPr>
    </w:pPr>
  </w:style>
  <w:style w:type="numbering" w:customStyle="1" w:styleId="WWNum7">
    <w:name w:val="WWNum7"/>
    <w:basedOn w:val="Bezlisty"/>
    <w:rsid w:val="00D11924"/>
    <w:pPr>
      <w:numPr>
        <w:numId w:val="5"/>
      </w:numPr>
    </w:pPr>
  </w:style>
  <w:style w:type="numbering" w:customStyle="1" w:styleId="WWNum9">
    <w:name w:val="WWNum9"/>
    <w:basedOn w:val="Bezlisty"/>
    <w:rsid w:val="00D11924"/>
    <w:pPr>
      <w:numPr>
        <w:numId w:val="6"/>
      </w:numPr>
    </w:pPr>
  </w:style>
  <w:style w:type="numbering" w:customStyle="1" w:styleId="WWNum10">
    <w:name w:val="WWNum10"/>
    <w:basedOn w:val="Bezlisty"/>
    <w:rsid w:val="00D11924"/>
    <w:pPr>
      <w:numPr>
        <w:numId w:val="7"/>
      </w:numPr>
    </w:pPr>
  </w:style>
  <w:style w:type="numbering" w:customStyle="1" w:styleId="WWNum11">
    <w:name w:val="WWNum11"/>
    <w:basedOn w:val="Bezlisty"/>
    <w:rsid w:val="00D11924"/>
    <w:pPr>
      <w:numPr>
        <w:numId w:val="8"/>
      </w:numPr>
    </w:pPr>
  </w:style>
  <w:style w:type="numbering" w:customStyle="1" w:styleId="WWNum12">
    <w:name w:val="WWNum12"/>
    <w:basedOn w:val="Bezlisty"/>
    <w:rsid w:val="00D11924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D1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9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90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1924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Standard">
    <w:name w:val="Standard"/>
    <w:rsid w:val="00D11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Num2">
    <w:name w:val="WWNum2"/>
    <w:basedOn w:val="Bezlisty"/>
    <w:rsid w:val="00D11924"/>
    <w:pPr>
      <w:numPr>
        <w:numId w:val="1"/>
      </w:numPr>
    </w:pPr>
  </w:style>
  <w:style w:type="numbering" w:customStyle="1" w:styleId="WWNum3">
    <w:name w:val="WWNum3"/>
    <w:basedOn w:val="Bezlisty"/>
    <w:rsid w:val="00D11924"/>
    <w:pPr>
      <w:numPr>
        <w:numId w:val="2"/>
      </w:numPr>
    </w:pPr>
  </w:style>
  <w:style w:type="numbering" w:customStyle="1" w:styleId="WWNum4">
    <w:name w:val="WWNum4"/>
    <w:basedOn w:val="Bezlisty"/>
    <w:rsid w:val="00D11924"/>
    <w:pPr>
      <w:numPr>
        <w:numId w:val="3"/>
      </w:numPr>
    </w:pPr>
  </w:style>
  <w:style w:type="numbering" w:customStyle="1" w:styleId="WWNum5">
    <w:name w:val="WWNum5"/>
    <w:basedOn w:val="Bezlisty"/>
    <w:rsid w:val="00D11924"/>
    <w:pPr>
      <w:numPr>
        <w:numId w:val="4"/>
      </w:numPr>
    </w:pPr>
  </w:style>
  <w:style w:type="numbering" w:customStyle="1" w:styleId="WWNum7">
    <w:name w:val="WWNum7"/>
    <w:basedOn w:val="Bezlisty"/>
    <w:rsid w:val="00D11924"/>
    <w:pPr>
      <w:numPr>
        <w:numId w:val="5"/>
      </w:numPr>
    </w:pPr>
  </w:style>
  <w:style w:type="numbering" w:customStyle="1" w:styleId="WWNum9">
    <w:name w:val="WWNum9"/>
    <w:basedOn w:val="Bezlisty"/>
    <w:rsid w:val="00D11924"/>
    <w:pPr>
      <w:numPr>
        <w:numId w:val="6"/>
      </w:numPr>
    </w:pPr>
  </w:style>
  <w:style w:type="numbering" w:customStyle="1" w:styleId="WWNum10">
    <w:name w:val="WWNum10"/>
    <w:basedOn w:val="Bezlisty"/>
    <w:rsid w:val="00D11924"/>
    <w:pPr>
      <w:numPr>
        <w:numId w:val="7"/>
      </w:numPr>
    </w:pPr>
  </w:style>
  <w:style w:type="numbering" w:customStyle="1" w:styleId="WWNum11">
    <w:name w:val="WWNum11"/>
    <w:basedOn w:val="Bezlisty"/>
    <w:rsid w:val="00D11924"/>
    <w:pPr>
      <w:numPr>
        <w:numId w:val="8"/>
      </w:numPr>
    </w:pPr>
  </w:style>
  <w:style w:type="numbering" w:customStyle="1" w:styleId="WWNum12">
    <w:name w:val="WWNum12"/>
    <w:basedOn w:val="Bezlisty"/>
    <w:rsid w:val="00D11924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D1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9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9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8</cp:revision>
  <cp:lastPrinted>2017-10-16T12:18:00Z</cp:lastPrinted>
  <dcterms:created xsi:type="dcterms:W3CDTF">2017-10-12T10:47:00Z</dcterms:created>
  <dcterms:modified xsi:type="dcterms:W3CDTF">2017-11-07T11:06:00Z</dcterms:modified>
</cp:coreProperties>
</file>